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75ECF5">
      <w:pPr>
        <w:pStyle w:val="12"/>
        <w:spacing w:after="156" w:afterLines="50"/>
        <w:rPr>
          <w:color w:val="auto"/>
          <w:sz w:val="44"/>
          <w:szCs w:val="44"/>
        </w:rPr>
      </w:pPr>
      <w:r>
        <w:rPr>
          <w:rFonts w:hint="eastAsia"/>
          <w:color w:val="auto"/>
          <w:sz w:val="44"/>
          <w:szCs w:val="44"/>
        </w:rPr>
        <w:t>雅安市雨城区高技术科创园建设项目（一期）专项债券</w:t>
      </w:r>
    </w:p>
    <w:p w14:paraId="6136EA5E">
      <w:pPr>
        <w:pStyle w:val="12"/>
        <w:spacing w:after="624" w:afterLines="200"/>
        <w:rPr>
          <w:color w:val="auto"/>
          <w:sz w:val="44"/>
          <w:szCs w:val="44"/>
        </w:rPr>
      </w:pPr>
      <w:r>
        <w:rPr>
          <w:rFonts w:hint="eastAsia"/>
          <w:color w:val="auto"/>
          <w:sz w:val="44"/>
          <w:szCs w:val="44"/>
        </w:rPr>
        <w:t>项目情况</w:t>
      </w:r>
    </w:p>
    <w:p w14:paraId="3099CC29">
      <w:pPr>
        <w:spacing w:line="560" w:lineRule="exact"/>
        <w:ind w:firstLine="640"/>
        <w:rPr>
          <w:rFonts w:ascii="黑体" w:hAnsi="黑体" w:eastAsia="黑体"/>
          <w:color w:val="auto"/>
          <w:sz w:val="32"/>
          <w:szCs w:val="32"/>
        </w:rPr>
      </w:pPr>
      <w:r>
        <w:rPr>
          <w:rFonts w:hint="eastAsia" w:ascii="黑体" w:hAnsi="黑体" w:eastAsia="黑体"/>
          <w:color w:val="auto"/>
          <w:sz w:val="32"/>
          <w:szCs w:val="32"/>
        </w:rPr>
        <w:t>一、项目基本情况</w:t>
      </w:r>
    </w:p>
    <w:p w14:paraId="3E809C8E">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（一）市县及行业专项规划概况</w:t>
      </w:r>
    </w:p>
    <w:p w14:paraId="0FC7B359">
      <w:pPr>
        <w:ind w:firstLine="480"/>
        <w:rPr>
          <w:rFonts w:hint="eastAsia"/>
          <w:color w:val="auto"/>
          <w:lang w:bidi="ar"/>
        </w:rPr>
      </w:pPr>
      <w:r>
        <w:rPr>
          <w:rFonts w:hint="eastAsia"/>
          <w:color w:val="auto"/>
          <w:lang w:bidi="ar"/>
        </w:rPr>
        <w:t>雅安市规划形成“一核、四轴、七城、多点”：以市域中心城市，即雨城、名山核心区构成的雅安中心城市为“一核”，沿成雅高速、雅康高速及成康高铁形成的连接成都和康藏的城镇综合发展轴为“四轴”，县域中心城市和新城为“七城”，中心镇为“多点”，极核带动、轴线推进式的城镇空间结构体系。</w:t>
      </w:r>
    </w:p>
    <w:p w14:paraId="7703647B">
      <w:pPr>
        <w:ind w:firstLine="480"/>
        <w:rPr>
          <w:rFonts w:hint="eastAsia"/>
          <w:color w:val="auto"/>
          <w:lang w:bidi="ar"/>
        </w:rPr>
      </w:pPr>
      <w:r>
        <w:rPr>
          <w:rFonts w:hint="eastAsia"/>
          <w:color w:val="auto"/>
          <w:lang w:bidi="ar"/>
        </w:rPr>
        <w:t>产业园区是执行城市产业职能的重要空间形态，园区在改善区域投资环境、引进外资、促进产业结构和发展经济等方面发挥积极的辐射、示范和带动作用，成为城市经济腾飞的助推器。产业园区是区域经济发展、产业调整和升级的重要空间聚集形式，担负着聚集创新资源、培育新兴产业、推动城市化建设等一系列的重要使命。四川省政府把培育和发展产业集群作为政府推进的一项非常重要的工作。为更好地发挥产业园区在全省经济社会发展中的集聚、示范、带动以及辐射作用，四川省印发了《四川省“5+1”重点特色园区培育发展三年行动计划（2021—2023年）》（以下简称《计划》）。该计划提出，到2023年底，全省建设100个左右贯彻新发展理念、优势突出、创新功能完备的重点特色园区。</w:t>
      </w:r>
    </w:p>
    <w:p w14:paraId="03BF92EF">
      <w:pPr>
        <w:pStyle w:val="2"/>
        <w:spacing w:line="360" w:lineRule="auto"/>
        <w:ind w:firstLine="480" w:firstLineChars="200"/>
        <w:rPr>
          <w:rFonts w:hint="eastAsia" w:ascii="仿宋" w:hAnsi="仿宋" w:eastAsia="仿宋"/>
          <w:color w:val="auto"/>
          <w:kern w:val="2"/>
          <w:sz w:val="24"/>
          <w:lang w:val="en-US" w:eastAsia="zh-CN" w:bidi="ar"/>
        </w:rPr>
      </w:pPr>
      <w:r>
        <w:rPr>
          <w:rFonts w:hint="eastAsia" w:ascii="仿宋" w:hAnsi="仿宋" w:eastAsia="仿宋"/>
          <w:color w:val="auto"/>
          <w:kern w:val="2"/>
          <w:sz w:val="24"/>
          <w:lang w:val="en-US" w:eastAsia="zh-CN" w:bidi="ar"/>
        </w:rPr>
        <w:t>《计划》指出，特色园区要增强专业化生产性服务能力，创新政府性资金支持方式，因地制宜设立产业投资基金，完善“园保贷”等融资分险模式，稳妥发展供应链金融、金融租赁等。支持符合条件的运营企业按规定上市、挂牌和发行中期票据、专项债等。在特色园区开展申报基础设施领域不动产投资信托基金试点，探索资产证券化途径。针对性引进原料供应、设备提供等供应商以及技术、法律、财务、市场开拓等服务机构，提供“全链条”服务。支持在有条件、有需求的重点特色园区中镶嵌、配套人力资源服务产业园或集聚平台。完善生活服务配套，围绕特定产业领域人群需求，科学布局学校、医院、文化、商业等生活配套设施，促进园区生产场景、生活场景和商业场景有机融合，提升宜居宜业品质。进一步深化“放管服”改革，完善商事制度，减少不必要的行政干预和审批备案事项。</w:t>
      </w:r>
    </w:p>
    <w:p w14:paraId="773671F1">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（二）项目情况</w:t>
      </w:r>
    </w:p>
    <w:p w14:paraId="6AB8735A">
      <w:pPr>
        <w:spacing w:line="560" w:lineRule="exact"/>
        <w:ind w:firstLine="643"/>
        <w:rPr>
          <w:rFonts w:ascii="仿宋_GB2312" w:hAnsi="Calibri" w:eastAsia="仿宋_GB2312"/>
          <w:b/>
          <w:color w:val="auto"/>
          <w:sz w:val="32"/>
          <w:szCs w:val="32"/>
        </w:rPr>
      </w:pPr>
      <w:r>
        <w:rPr>
          <w:rFonts w:hint="eastAsia" w:ascii="仿宋_GB2312" w:hAnsi="Calibri" w:eastAsia="仿宋_GB2312"/>
          <w:b/>
          <w:color w:val="auto"/>
          <w:sz w:val="32"/>
          <w:szCs w:val="32"/>
        </w:rPr>
        <w:t>1.参与主体</w:t>
      </w:r>
    </w:p>
    <w:p w14:paraId="6DFCAF47">
      <w:pPr>
        <w:ind w:firstLine="480"/>
        <w:rPr>
          <w:rFonts w:hint="eastAsia" w:eastAsia="仿宋"/>
          <w:color w:val="auto"/>
          <w:lang w:eastAsia="zh-CN" w:bidi="ar"/>
        </w:rPr>
      </w:pPr>
      <w:r>
        <w:rPr>
          <w:rFonts w:hint="eastAsia"/>
          <w:color w:val="auto"/>
          <w:lang w:bidi="ar"/>
        </w:rPr>
        <w:t>实施机构（行业主管部门）：</w:t>
      </w:r>
      <w:bookmarkStart w:id="3" w:name="_GoBack"/>
      <w:bookmarkEnd w:id="3"/>
      <w:r>
        <w:rPr>
          <w:rFonts w:hint="eastAsia"/>
          <w:color w:val="auto"/>
          <w:lang w:eastAsia="zh-CN" w:bidi="ar"/>
        </w:rPr>
        <w:t>雅安市雨城区发展和改革局</w:t>
      </w:r>
    </w:p>
    <w:p w14:paraId="37F6F708">
      <w:pPr>
        <w:ind w:firstLine="480"/>
        <w:rPr>
          <w:color w:val="auto"/>
          <w:lang w:bidi="ar"/>
        </w:rPr>
      </w:pPr>
      <w:r>
        <w:rPr>
          <w:rFonts w:hint="eastAsia"/>
          <w:color w:val="auto"/>
          <w:lang w:bidi="ar"/>
        </w:rPr>
        <w:t>项目业主：雅安蜀天新城开发建设有限责任公司</w:t>
      </w:r>
    </w:p>
    <w:p w14:paraId="64D67BD8">
      <w:pPr>
        <w:spacing w:line="560" w:lineRule="exact"/>
        <w:ind w:firstLine="643"/>
        <w:rPr>
          <w:rFonts w:ascii="仿宋_GB2312" w:hAnsi="Calibri" w:eastAsia="仿宋_GB2312"/>
          <w:b/>
          <w:color w:val="auto"/>
          <w:sz w:val="32"/>
          <w:szCs w:val="32"/>
        </w:rPr>
      </w:pPr>
      <w:r>
        <w:rPr>
          <w:rFonts w:hint="eastAsia" w:ascii="仿宋_GB2312" w:hAnsi="Calibri" w:eastAsia="仿宋_GB2312"/>
          <w:b/>
          <w:color w:val="auto"/>
          <w:sz w:val="32"/>
          <w:szCs w:val="32"/>
        </w:rPr>
        <w:t>2</w:t>
      </w:r>
      <w:r>
        <w:rPr>
          <w:rFonts w:ascii="仿宋_GB2312" w:hAnsi="Calibri" w:eastAsia="仿宋_GB2312"/>
          <w:b/>
          <w:color w:val="auto"/>
          <w:sz w:val="32"/>
          <w:szCs w:val="32"/>
        </w:rPr>
        <w:t>.</w:t>
      </w:r>
      <w:r>
        <w:rPr>
          <w:rFonts w:hint="eastAsia" w:ascii="仿宋_GB2312" w:hAnsi="Calibri" w:eastAsia="仿宋_GB2312"/>
          <w:b/>
          <w:color w:val="auto"/>
          <w:sz w:val="32"/>
          <w:szCs w:val="32"/>
        </w:rPr>
        <w:t>项目概况</w:t>
      </w:r>
    </w:p>
    <w:p w14:paraId="25C223D7">
      <w:pPr>
        <w:ind w:firstLine="480"/>
        <w:rPr>
          <w:bCs/>
          <w:color w:val="auto"/>
          <w:kern w:val="0"/>
        </w:rPr>
      </w:pPr>
      <w:r>
        <w:rPr>
          <w:rFonts w:hint="eastAsia"/>
          <w:bCs/>
          <w:color w:val="auto"/>
          <w:kern w:val="0"/>
        </w:rPr>
        <w:t>本项目是产业园区基础设施项目，项目总投资估算为</w:t>
      </w:r>
      <w:r>
        <w:rPr>
          <w:rFonts w:hint="eastAsia"/>
          <w:bCs/>
          <w:color w:val="auto"/>
          <w:kern w:val="0"/>
          <w:lang w:eastAsia="zh-CN"/>
        </w:rPr>
        <w:t xml:space="preserve">49120.00 </w:t>
      </w:r>
      <w:r>
        <w:rPr>
          <w:bCs/>
          <w:color w:val="auto"/>
          <w:kern w:val="0"/>
        </w:rPr>
        <w:t>万元。项目位于</w:t>
      </w:r>
      <w:r>
        <w:rPr>
          <w:rFonts w:hint="eastAsia"/>
          <w:bCs/>
          <w:color w:val="auto"/>
          <w:kern w:val="0"/>
        </w:rPr>
        <w:t>雅安市文教新城。主要建设内容为新区的科创园定制厂房。项目占地面积约166亩，总建筑面积约6.94万平方米。其中定制厂房地上建筑面积约55500平方米，地下建筑面积（含停车场）13875平方米，新建及改造配套道路2.5km。</w:t>
      </w:r>
      <w:r>
        <w:rPr>
          <w:bCs/>
          <w:color w:val="auto"/>
          <w:kern w:val="0"/>
        </w:rPr>
        <w:t>该项目符合控制性详细规划，已取可行性研究报告的批复、建设项目用地预审与选址意见书、建设项目环境影响登记表</w:t>
      </w:r>
      <w:r>
        <w:rPr>
          <w:rFonts w:hint="eastAsia"/>
          <w:bCs/>
          <w:color w:val="auto"/>
          <w:kern w:val="0"/>
          <w:lang w:eastAsia="zh-CN"/>
        </w:rPr>
        <w:t>、</w:t>
      </w:r>
      <w:r>
        <w:rPr>
          <w:rFonts w:hint="eastAsia"/>
          <w:bCs/>
          <w:color w:val="auto"/>
          <w:kern w:val="0"/>
          <w:lang w:val="en-US" w:eastAsia="zh-CN"/>
        </w:rPr>
        <w:t>可配套土地资源的说明、建设用地规划许可证、建设工程规划许可证</w:t>
      </w:r>
      <w:r>
        <w:rPr>
          <w:bCs/>
          <w:color w:val="auto"/>
          <w:kern w:val="0"/>
        </w:rPr>
        <w:t>等合法合规性文件。</w:t>
      </w:r>
    </w:p>
    <w:p w14:paraId="1F5B6A9B">
      <w:pPr>
        <w:pStyle w:val="2"/>
        <w:rPr>
          <w:color w:val="auto"/>
        </w:rPr>
      </w:pPr>
    </w:p>
    <w:p w14:paraId="343545F1">
      <w:pPr>
        <w:spacing w:line="560" w:lineRule="exact"/>
        <w:ind w:firstLine="640"/>
        <w:rPr>
          <w:rFonts w:ascii="黑体" w:hAnsi="黑体" w:eastAsia="黑体"/>
          <w:color w:val="auto"/>
          <w:sz w:val="32"/>
          <w:szCs w:val="32"/>
        </w:rPr>
      </w:pPr>
      <w:r>
        <w:rPr>
          <w:rFonts w:hint="eastAsia" w:ascii="黑体" w:hAnsi="黑体" w:eastAsia="黑体"/>
          <w:color w:val="auto"/>
          <w:sz w:val="32"/>
          <w:szCs w:val="32"/>
        </w:rPr>
        <w:t>二、经济社会效益分析</w:t>
      </w:r>
    </w:p>
    <w:p w14:paraId="5871EED7">
      <w:pPr>
        <w:ind w:firstLine="480"/>
        <w:rPr>
          <w:rFonts w:hint="default" w:eastAsia="仿宋"/>
          <w:bCs/>
          <w:color w:val="auto"/>
          <w:kern w:val="0"/>
          <w:lang w:val="en-US" w:eastAsia="zh-CN"/>
        </w:rPr>
      </w:pPr>
      <w:bookmarkStart w:id="0" w:name="OLE_LINK52"/>
      <w:r>
        <w:rPr>
          <w:rFonts w:hint="eastAsia"/>
          <w:bCs/>
          <w:color w:val="auto"/>
          <w:kern w:val="0"/>
        </w:rPr>
        <w:t>在经济效益方面，雅安市雨城区高技术科创园建设项目（一期）总投资估算为</w:t>
      </w:r>
      <w:r>
        <w:rPr>
          <w:rFonts w:hint="eastAsia"/>
          <w:bCs/>
          <w:color w:val="auto"/>
          <w:kern w:val="0"/>
          <w:lang w:eastAsia="zh-CN"/>
        </w:rPr>
        <w:t xml:space="preserve">49120.00 </w:t>
      </w:r>
      <w:r>
        <w:rPr>
          <w:bCs/>
          <w:color w:val="auto"/>
          <w:kern w:val="0"/>
        </w:rPr>
        <w:t>万元。项目建成以后可获得</w:t>
      </w:r>
      <w:r>
        <w:rPr>
          <w:rFonts w:hint="eastAsia"/>
          <w:bCs/>
          <w:color w:val="auto"/>
          <w:kern w:val="0"/>
        </w:rPr>
        <w:t>定制厂房出租收入、物管费收入、充电桩收入、停车费收入、广告收入、砂卵石销售收入</w:t>
      </w:r>
      <w:r>
        <w:rPr>
          <w:bCs/>
          <w:color w:val="auto"/>
          <w:kern w:val="0"/>
        </w:rPr>
        <w:t>，可实现项目收入总计为</w:t>
      </w:r>
      <w:r>
        <w:rPr>
          <w:rFonts w:hint="eastAsia"/>
          <w:bCs/>
          <w:color w:val="auto"/>
          <w:kern w:val="0"/>
          <w:lang w:eastAsia="zh-CN"/>
        </w:rPr>
        <w:t>173708.24</w:t>
      </w:r>
      <w:r>
        <w:rPr>
          <w:bCs/>
          <w:color w:val="auto"/>
          <w:kern w:val="0"/>
        </w:rPr>
        <w:t>万元，待本项目全部</w:t>
      </w:r>
      <w:r>
        <w:rPr>
          <w:rFonts w:hint="eastAsia"/>
          <w:bCs/>
          <w:color w:val="auto"/>
          <w:kern w:val="0"/>
          <w:lang w:eastAsia="zh-CN"/>
        </w:rPr>
        <w:t>37000.00</w:t>
      </w:r>
      <w:r>
        <w:rPr>
          <w:bCs/>
          <w:color w:val="auto"/>
          <w:kern w:val="0"/>
        </w:rPr>
        <w:t>万元专项债到期时，在偿还到期的债券本息后，将仍有</w:t>
      </w:r>
      <w:r>
        <w:rPr>
          <w:rFonts w:hint="eastAsia"/>
          <w:bCs/>
          <w:color w:val="auto"/>
          <w:kern w:val="0"/>
          <w:lang w:eastAsia="zh-CN"/>
        </w:rPr>
        <w:t>39421.51</w:t>
      </w:r>
      <w:r>
        <w:rPr>
          <w:bCs/>
          <w:color w:val="auto"/>
          <w:kern w:val="0"/>
        </w:rPr>
        <w:t>万元的累计现金结余。其中：项目债券本息覆盖倍数为</w:t>
      </w:r>
      <w:r>
        <w:rPr>
          <w:rFonts w:hint="eastAsia"/>
          <w:bCs/>
          <w:color w:val="auto"/>
          <w:kern w:val="0"/>
          <w:lang w:val="en-US" w:eastAsia="zh-CN"/>
        </w:rPr>
        <w:t>1.58</w:t>
      </w:r>
      <w:r>
        <w:rPr>
          <w:bCs/>
          <w:color w:val="auto"/>
          <w:kern w:val="0"/>
        </w:rPr>
        <w:t>倍。预期实现的运营净收入能够合理保障偿还融资本金和利息,能够实现项目收益和融资自求平衡。</w:t>
      </w:r>
      <w:r>
        <w:rPr>
          <w:rFonts w:hint="eastAsia"/>
          <w:bCs/>
          <w:color w:val="auto"/>
          <w:kern w:val="0"/>
        </w:rPr>
        <w:t>本项目通过实施文教新城科创园的开发，在各项配套基础设施完善后，将为雨城区招商引资创造良好的软、硬环境，同时通过文教行业，进一步展示雨城区经济、社会、文化发展的方方面面，扩大其同外部的交流与合作，带动物流、信息流、资金流、人才流，促进当地经济的快速发展。该项目的建成，不但有利于提升建设区域空间品质，强化建设区域基础设施和公共服务平台建设，提高文教新城综合承载能力，为文教新城招商引资打好坚实的基础，为优秀企业入驻提供了优越的条件，有利于吸引优秀企业进驻</w:t>
      </w:r>
      <w:r>
        <w:rPr>
          <w:rFonts w:hint="eastAsia"/>
          <w:bCs/>
          <w:color w:val="auto"/>
          <w:kern w:val="0"/>
          <w:lang w:eastAsia="zh-CN"/>
        </w:rPr>
        <w:t>，</w:t>
      </w:r>
      <w:r>
        <w:rPr>
          <w:rFonts w:hint="eastAsia"/>
          <w:bCs/>
          <w:color w:val="auto"/>
          <w:kern w:val="0"/>
          <w:lang w:val="en-US" w:eastAsia="zh-CN"/>
        </w:rPr>
        <w:t>还将在一定程度上扩大当地就业</w:t>
      </w:r>
    </w:p>
    <w:p w14:paraId="33D463CF">
      <w:pPr>
        <w:ind w:firstLine="480"/>
        <w:rPr>
          <w:rFonts w:hint="eastAsia"/>
          <w:bCs/>
          <w:color w:val="auto"/>
          <w:kern w:val="0"/>
        </w:rPr>
      </w:pPr>
      <w:r>
        <w:rPr>
          <w:rFonts w:hint="eastAsia"/>
          <w:bCs/>
          <w:color w:val="auto"/>
          <w:kern w:val="0"/>
        </w:rPr>
        <w:t>在社会效益方面，项目的建设</w:t>
      </w:r>
      <w:r>
        <w:rPr>
          <w:rFonts w:hint="eastAsia"/>
          <w:bCs/>
          <w:color w:val="auto"/>
          <w:kern w:val="0"/>
          <w:lang w:val="en-US" w:eastAsia="zh-CN"/>
        </w:rPr>
        <w:t>能够</w:t>
      </w:r>
      <w:r>
        <w:rPr>
          <w:rFonts w:hint="eastAsia"/>
          <w:bCs/>
          <w:color w:val="auto"/>
          <w:kern w:val="0"/>
        </w:rPr>
        <w:t>带动雨城区交通、建筑、运输、通讯、食品加工、餐饮、娱乐、文教产业商品开发、环境综合治理、居民就业、资源保护等相关事业的发展施有利于提升建设区域空间品质，强化建设区域基础设施和公共服务平台建设，提高文教新城综合承载能力。该项目科创园及其配套设施的建设有利于塑造宜居的生活环境，打造舒适便捷的城市生活功能设施，提高城市的宜居性和人的幸福感、获得感，为周边居民提供一个休闲娱乐的环境，提升周围企业、居民的生活品质，促进当地居民生活质量和生活水平的提高。</w:t>
      </w:r>
    </w:p>
    <w:p w14:paraId="5AE8B12A">
      <w:pPr>
        <w:pStyle w:val="2"/>
        <w:rPr>
          <w:color w:val="auto"/>
        </w:rPr>
      </w:pPr>
    </w:p>
    <w:bookmarkEnd w:id="0"/>
    <w:p w14:paraId="7C9814D0">
      <w:pPr>
        <w:spacing w:line="560" w:lineRule="exact"/>
        <w:ind w:firstLine="640"/>
        <w:rPr>
          <w:rFonts w:ascii="黑体" w:hAnsi="黑体" w:eastAsia="黑体"/>
          <w:color w:val="auto"/>
          <w:sz w:val="32"/>
          <w:szCs w:val="32"/>
        </w:rPr>
      </w:pPr>
      <w:r>
        <w:rPr>
          <w:rFonts w:hint="eastAsia" w:ascii="黑体" w:hAnsi="黑体" w:eastAsia="黑体"/>
          <w:color w:val="auto"/>
          <w:sz w:val="32"/>
          <w:szCs w:val="32"/>
        </w:rPr>
        <w:t>三、项目投资估算及资金筹措方案</w:t>
      </w:r>
    </w:p>
    <w:p w14:paraId="64DEB8B2">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（一）投资估算</w:t>
      </w:r>
    </w:p>
    <w:p w14:paraId="2C257F17">
      <w:pPr>
        <w:ind w:firstLine="480"/>
        <w:rPr>
          <w:color w:val="auto"/>
        </w:rPr>
      </w:pPr>
      <w:r>
        <w:rPr>
          <w:rFonts w:hint="eastAsia"/>
          <w:color w:val="auto"/>
        </w:rPr>
        <w:t>项目总投资估算为</w:t>
      </w:r>
      <w:r>
        <w:rPr>
          <w:rFonts w:hint="eastAsia"/>
          <w:color w:val="auto"/>
          <w:lang w:eastAsia="zh-CN"/>
        </w:rPr>
        <w:t xml:space="preserve">49120.00 </w:t>
      </w:r>
      <w:r>
        <w:rPr>
          <w:color w:val="auto"/>
        </w:rPr>
        <w:t>万元，其中工程费用为</w:t>
      </w:r>
      <w:r>
        <w:rPr>
          <w:rFonts w:hint="eastAsia"/>
          <w:color w:val="auto"/>
        </w:rPr>
        <w:t>31377.48</w:t>
      </w:r>
      <w:r>
        <w:rPr>
          <w:color w:val="auto"/>
        </w:rPr>
        <w:t>万元，工程建设其他费用为</w:t>
      </w:r>
      <w:r>
        <w:rPr>
          <w:rFonts w:hint="eastAsia"/>
          <w:color w:val="auto"/>
        </w:rPr>
        <w:t>12771.13</w:t>
      </w:r>
      <w:r>
        <w:rPr>
          <w:color w:val="auto"/>
        </w:rPr>
        <w:t>万元，基本预备费</w:t>
      </w:r>
      <w:r>
        <w:rPr>
          <w:rFonts w:hint="eastAsia"/>
          <w:color w:val="auto"/>
        </w:rPr>
        <w:t>2522.39</w:t>
      </w:r>
      <w:r>
        <w:rPr>
          <w:color w:val="auto"/>
        </w:rPr>
        <w:t>万元，建设期融资利息</w:t>
      </w:r>
      <w:r>
        <w:rPr>
          <w:rFonts w:hint="eastAsia"/>
          <w:color w:val="auto"/>
        </w:rPr>
        <w:t>2412.00</w:t>
      </w:r>
      <w:r>
        <w:rPr>
          <w:color w:val="auto"/>
        </w:rPr>
        <w:t>万元，债券发行费为</w:t>
      </w:r>
      <w:r>
        <w:rPr>
          <w:rFonts w:hint="eastAsia"/>
          <w:color w:val="auto"/>
          <w:lang w:val="en-US" w:eastAsia="zh-CN"/>
        </w:rPr>
        <w:t>37</w:t>
      </w:r>
      <w:r>
        <w:rPr>
          <w:rFonts w:hint="eastAsia"/>
          <w:color w:val="auto"/>
        </w:rPr>
        <w:t>.00</w:t>
      </w:r>
      <w:r>
        <w:rPr>
          <w:color w:val="auto"/>
        </w:rPr>
        <w:t>万元。</w:t>
      </w:r>
    </w:p>
    <w:p w14:paraId="7DB17E62">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（二）资金筹措方案</w:t>
      </w:r>
    </w:p>
    <w:p w14:paraId="02557579">
      <w:pPr>
        <w:spacing w:line="560" w:lineRule="exact"/>
        <w:ind w:firstLine="643"/>
        <w:rPr>
          <w:rFonts w:ascii="仿宋_GB2312" w:hAnsi="Calibri" w:eastAsia="仿宋_GB2312"/>
          <w:b/>
          <w:color w:val="auto"/>
          <w:sz w:val="32"/>
          <w:szCs w:val="32"/>
        </w:rPr>
      </w:pPr>
      <w:r>
        <w:rPr>
          <w:rFonts w:ascii="仿宋_GB2312" w:hAnsi="Calibri" w:eastAsia="仿宋_GB2312"/>
          <w:b/>
          <w:color w:val="auto"/>
          <w:sz w:val="32"/>
          <w:szCs w:val="32"/>
        </w:rPr>
        <w:t>1.</w:t>
      </w:r>
      <w:r>
        <w:rPr>
          <w:rFonts w:hint="eastAsia" w:ascii="仿宋_GB2312" w:hAnsi="Calibri" w:eastAsia="仿宋_GB2312"/>
          <w:b/>
          <w:color w:val="auto"/>
          <w:sz w:val="32"/>
          <w:szCs w:val="32"/>
        </w:rPr>
        <w:t>资金筹集情况</w:t>
      </w:r>
    </w:p>
    <w:p w14:paraId="2D470840">
      <w:pPr>
        <w:ind w:firstLine="480"/>
        <w:rPr>
          <w:color w:val="auto"/>
        </w:rPr>
      </w:pPr>
      <w:r>
        <w:rPr>
          <w:rFonts w:hint="eastAsia"/>
          <w:color w:val="auto"/>
        </w:rPr>
        <w:t>该项目总投资估算为</w:t>
      </w:r>
      <w:r>
        <w:rPr>
          <w:rFonts w:hint="eastAsia"/>
          <w:color w:val="auto"/>
          <w:lang w:eastAsia="zh-CN"/>
        </w:rPr>
        <w:t xml:space="preserve">49120.00 </w:t>
      </w:r>
      <w:r>
        <w:rPr>
          <w:color w:val="auto"/>
        </w:rPr>
        <w:t>万元，</w:t>
      </w:r>
      <w:r>
        <w:rPr>
          <w:rFonts w:hint="eastAsia"/>
          <w:color w:val="auto"/>
        </w:rPr>
        <w:t>资金来源于项目资本金、发行专项债券和市场化融资。</w:t>
      </w:r>
      <w:r>
        <w:rPr>
          <w:color w:val="auto"/>
        </w:rPr>
        <w:t>其中项目资本金</w:t>
      </w:r>
      <w:r>
        <w:rPr>
          <w:rFonts w:hint="eastAsia"/>
          <w:color w:val="auto"/>
        </w:rPr>
        <w:t xml:space="preserve">12120.00 </w:t>
      </w:r>
      <w:r>
        <w:rPr>
          <w:color w:val="auto"/>
        </w:rPr>
        <w:t>万元，占总投资的</w:t>
      </w:r>
      <w:r>
        <w:rPr>
          <w:rFonts w:hint="eastAsia"/>
          <w:color w:val="auto"/>
        </w:rPr>
        <w:t>24.67%</w:t>
      </w:r>
      <w:r>
        <w:rPr>
          <w:color w:val="auto"/>
        </w:rPr>
        <w:t>，由财政拨款构成；拟发行</w:t>
      </w:r>
      <w:r>
        <w:rPr>
          <w:rFonts w:hint="eastAsia"/>
          <w:color w:val="auto"/>
          <w:lang w:eastAsia="zh-CN"/>
        </w:rPr>
        <w:t>37000.00</w:t>
      </w:r>
      <w:r>
        <w:rPr>
          <w:color w:val="auto"/>
        </w:rPr>
        <w:t>万元专项债券融资，占总投资的</w:t>
      </w:r>
      <w:r>
        <w:rPr>
          <w:rFonts w:hint="eastAsia"/>
          <w:color w:val="auto"/>
          <w:lang w:val="en-US" w:eastAsia="zh-CN"/>
        </w:rPr>
        <w:t>75</w:t>
      </w:r>
      <w:r>
        <w:rPr>
          <w:rFonts w:hint="eastAsia"/>
          <w:color w:val="auto"/>
          <w:lang w:eastAsia="zh-CN"/>
        </w:rPr>
        <w:t>.</w:t>
      </w:r>
      <w:r>
        <w:rPr>
          <w:rFonts w:hint="eastAsia"/>
          <w:color w:val="auto"/>
          <w:lang w:val="en-US" w:eastAsia="zh-CN"/>
        </w:rPr>
        <w:t>33</w:t>
      </w:r>
      <w:r>
        <w:rPr>
          <w:rFonts w:hint="eastAsia"/>
          <w:color w:val="auto"/>
          <w:lang w:eastAsia="zh-CN"/>
        </w:rPr>
        <w:t>%</w:t>
      </w:r>
      <w:r>
        <w:rPr>
          <w:color w:val="auto"/>
        </w:rPr>
        <w:t>，融资利率</w:t>
      </w:r>
      <w:r>
        <w:rPr>
          <w:rFonts w:hint="eastAsia"/>
          <w:color w:val="auto"/>
          <w:lang w:val="en-US" w:eastAsia="zh-CN"/>
        </w:rPr>
        <w:t>3.6</w:t>
      </w:r>
      <w:r>
        <w:rPr>
          <w:color w:val="auto"/>
        </w:rPr>
        <w:t>%，期限20年。</w:t>
      </w:r>
    </w:p>
    <w:p w14:paraId="75DCE6B8">
      <w:pPr>
        <w:spacing w:line="560" w:lineRule="exact"/>
        <w:ind w:firstLine="643"/>
        <w:rPr>
          <w:rFonts w:ascii="仿宋_GB2312" w:hAnsi="Calibri" w:eastAsia="仿宋_GB2312"/>
          <w:b/>
          <w:color w:val="auto"/>
          <w:sz w:val="32"/>
          <w:szCs w:val="32"/>
        </w:rPr>
      </w:pPr>
      <w:r>
        <w:rPr>
          <w:rFonts w:hint="eastAsia" w:ascii="仿宋_GB2312" w:hAnsi="Calibri" w:eastAsia="仿宋_GB2312"/>
          <w:b/>
          <w:color w:val="auto"/>
          <w:sz w:val="32"/>
          <w:szCs w:val="32"/>
        </w:rPr>
        <w:t>2.资金使用计划</w:t>
      </w:r>
    </w:p>
    <w:p w14:paraId="0088E94D">
      <w:pPr>
        <w:ind w:firstLine="480"/>
        <w:rPr>
          <w:color w:val="auto"/>
        </w:rPr>
      </w:pPr>
      <w:r>
        <w:rPr>
          <w:rFonts w:hint="eastAsia"/>
          <w:color w:val="auto"/>
        </w:rPr>
        <w:t>根据项目建设进度及建设内容和业主的资金安排，项目建设资金将在前</w:t>
      </w:r>
      <w:r>
        <w:rPr>
          <w:rFonts w:hint="eastAsia"/>
          <w:color w:val="auto"/>
          <w:lang w:val="en-US" w:eastAsia="zh-CN"/>
        </w:rPr>
        <w:t>3</w:t>
      </w:r>
      <w:r>
        <w:rPr>
          <w:rFonts w:hint="eastAsia"/>
          <w:color w:val="auto"/>
        </w:rPr>
        <w:t>年投入，建设计划、资金使用与投资计划相匹配。</w:t>
      </w:r>
    </w:p>
    <w:p w14:paraId="3604C9AF">
      <w:pPr>
        <w:pStyle w:val="30"/>
        <w:rPr>
          <w:rFonts w:hint="eastAsia"/>
          <w:color w:val="auto"/>
        </w:rPr>
      </w:pPr>
      <w:r>
        <w:rPr>
          <w:rFonts w:hint="eastAsia"/>
          <w:color w:val="auto"/>
          <w:lang w:bidi="ar"/>
        </w:rPr>
        <w:t>资金使用计划表（</w:t>
      </w:r>
      <w:r>
        <w:rPr>
          <w:rFonts w:hint="eastAsia"/>
          <w:color w:val="auto"/>
        </w:rPr>
        <w:t>金额单位：</w:t>
      </w:r>
      <w:r>
        <w:rPr>
          <w:rFonts w:hint="eastAsia"/>
          <w:color w:val="auto"/>
          <w:lang w:val="zh-CN"/>
        </w:rPr>
        <w:t>人民币</w:t>
      </w:r>
      <w:r>
        <w:rPr>
          <w:rFonts w:hint="eastAsia"/>
          <w:color w:val="auto"/>
        </w:rPr>
        <w:t>万元）</w:t>
      </w:r>
    </w:p>
    <w:tbl>
      <w:tblPr>
        <w:tblStyle w:val="1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416"/>
        <w:gridCol w:w="1019"/>
        <w:gridCol w:w="1016"/>
        <w:gridCol w:w="916"/>
        <w:gridCol w:w="1016"/>
        <w:gridCol w:w="2219"/>
        <w:gridCol w:w="917"/>
      </w:tblGrid>
      <w:tr w14:paraId="065767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3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CD053">
            <w:pPr>
              <w:keepNext w:val="0"/>
              <w:keepLines w:val="0"/>
              <w:widowControl/>
              <w:suppressLineNumbers w:val="0"/>
              <w:spacing w:line="240" w:lineRule="auto"/>
              <w:ind w:firstLine="0" w:firstLineChars="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序号</w:t>
            </w:r>
          </w:p>
        </w:tc>
        <w:tc>
          <w:tcPr>
            <w:tcW w:w="89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CD4433">
            <w:pPr>
              <w:keepNext w:val="0"/>
              <w:keepLines w:val="0"/>
              <w:widowControl/>
              <w:suppressLineNumbers w:val="0"/>
              <w:spacing w:line="240" w:lineRule="auto"/>
              <w:ind w:firstLine="0" w:firstLineChars="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项目名称</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17D02">
            <w:pPr>
              <w:keepNext w:val="0"/>
              <w:keepLines w:val="0"/>
              <w:widowControl/>
              <w:suppressLineNumbers w:val="0"/>
              <w:spacing w:line="240" w:lineRule="auto"/>
              <w:ind w:firstLine="0" w:firstLineChars="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合计</w:t>
            </w:r>
          </w:p>
        </w:tc>
        <w:tc>
          <w:tcPr>
            <w:tcW w:w="2391" w:type="pct"/>
            <w:gridSpan w:val="3"/>
            <w:tcBorders>
              <w:top w:val="single" w:color="000000" w:sz="4" w:space="0"/>
              <w:left w:val="single" w:color="000000" w:sz="4" w:space="0"/>
              <w:bottom w:val="single" w:color="000000" w:sz="4" w:space="0"/>
              <w:right w:val="nil"/>
            </w:tcBorders>
            <w:shd w:val="clear" w:color="auto" w:fill="auto"/>
            <w:noWrap/>
            <w:vAlign w:val="center"/>
          </w:tcPr>
          <w:p w14:paraId="3085DB3A">
            <w:pPr>
              <w:keepNext w:val="0"/>
              <w:keepLines w:val="0"/>
              <w:widowControl/>
              <w:suppressLineNumbers w:val="0"/>
              <w:spacing w:line="240" w:lineRule="auto"/>
              <w:ind w:firstLine="0" w:firstLineChars="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资金来源及分年使用计划</w:t>
            </w:r>
          </w:p>
        </w:tc>
        <w:tc>
          <w:tcPr>
            <w:tcW w:w="43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4C2FF">
            <w:pPr>
              <w:keepNext w:val="0"/>
              <w:keepLines w:val="0"/>
              <w:widowControl/>
              <w:suppressLineNumbers w:val="0"/>
              <w:spacing w:line="240" w:lineRule="auto"/>
              <w:ind w:firstLine="0" w:firstLineChars="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比例</w:t>
            </w:r>
          </w:p>
        </w:tc>
      </w:tr>
      <w:tr w14:paraId="186F40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3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8BBB3">
            <w:pPr>
              <w:jc w:val="center"/>
              <w:rPr>
                <w:rFonts w:hint="eastAsia" w:ascii="仿宋" w:hAnsi="仿宋" w:eastAsia="仿宋" w:cs="仿宋"/>
                <w:b/>
                <w:bCs/>
                <w:i w:val="0"/>
                <w:iCs w:val="0"/>
                <w:color w:val="000000"/>
                <w:sz w:val="20"/>
                <w:szCs w:val="20"/>
                <w:u w:val="none"/>
              </w:rPr>
            </w:pPr>
          </w:p>
        </w:tc>
        <w:tc>
          <w:tcPr>
            <w:tcW w:w="89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2EE602">
            <w:pPr>
              <w:jc w:val="center"/>
              <w:rPr>
                <w:rFonts w:hint="eastAsia" w:ascii="仿宋" w:hAnsi="仿宋" w:eastAsia="仿宋" w:cs="仿宋"/>
                <w:b/>
                <w:bCs/>
                <w:i w:val="0"/>
                <w:iCs w:val="0"/>
                <w:color w:val="000000"/>
                <w:sz w:val="20"/>
                <w:szCs w:val="20"/>
                <w:u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4018B">
            <w:pPr>
              <w:jc w:val="center"/>
              <w:rPr>
                <w:rFonts w:hint="eastAsia" w:ascii="仿宋" w:hAnsi="仿宋" w:eastAsia="仿宋" w:cs="仿宋"/>
                <w:b/>
                <w:bCs/>
                <w:i w:val="0"/>
                <w:iCs w:val="0"/>
                <w:color w:val="000000"/>
                <w:sz w:val="20"/>
                <w:szCs w:val="20"/>
                <w:u w:val="none"/>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E13B0">
            <w:pPr>
              <w:keepNext w:val="0"/>
              <w:keepLines w:val="0"/>
              <w:widowControl/>
              <w:suppressLineNumbers w:val="0"/>
              <w:spacing w:line="240" w:lineRule="auto"/>
              <w:ind w:firstLine="0" w:firstLineChars="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第一年</w:t>
            </w:r>
          </w:p>
        </w:tc>
        <w:tc>
          <w:tcPr>
            <w:tcW w:w="4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58CC0">
            <w:pPr>
              <w:keepNext w:val="0"/>
              <w:keepLines w:val="0"/>
              <w:widowControl/>
              <w:suppressLineNumbers w:val="0"/>
              <w:spacing w:line="240" w:lineRule="auto"/>
              <w:ind w:firstLine="0" w:firstLineChars="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第二年</w:t>
            </w:r>
          </w:p>
        </w:tc>
        <w:tc>
          <w:tcPr>
            <w:tcW w:w="15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08541">
            <w:pPr>
              <w:keepNext w:val="0"/>
              <w:keepLines w:val="0"/>
              <w:widowControl/>
              <w:suppressLineNumbers w:val="0"/>
              <w:spacing w:line="240" w:lineRule="auto"/>
              <w:ind w:firstLine="0" w:firstLineChars="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第三年</w:t>
            </w:r>
          </w:p>
        </w:tc>
        <w:tc>
          <w:tcPr>
            <w:tcW w:w="43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97D86">
            <w:pPr>
              <w:jc w:val="center"/>
              <w:rPr>
                <w:rFonts w:hint="eastAsia" w:ascii="仿宋" w:hAnsi="仿宋" w:eastAsia="仿宋" w:cs="仿宋"/>
                <w:b/>
                <w:bCs/>
                <w:i w:val="0"/>
                <w:iCs w:val="0"/>
                <w:color w:val="000000"/>
                <w:sz w:val="20"/>
                <w:szCs w:val="20"/>
                <w:u w:val="none"/>
              </w:rPr>
            </w:pPr>
          </w:p>
        </w:tc>
      </w:tr>
      <w:tr w14:paraId="1E701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73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E1D9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项目投资</w:t>
            </w:r>
          </w:p>
        </w:tc>
        <w:tc>
          <w:tcPr>
            <w:tcW w:w="8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A9437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项目建设总投资</w:t>
            </w:r>
          </w:p>
        </w:tc>
        <w:tc>
          <w:tcPr>
            <w:tcW w:w="5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B2BD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46671.00 </w:t>
            </w: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FDB1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9334.20 </w:t>
            </w:r>
          </w:p>
        </w:tc>
        <w:tc>
          <w:tcPr>
            <w:tcW w:w="4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7CEC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18668.40 </w:t>
            </w:r>
          </w:p>
        </w:tc>
        <w:tc>
          <w:tcPr>
            <w:tcW w:w="15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32CF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18668.40 </w:t>
            </w:r>
          </w:p>
        </w:tc>
        <w:tc>
          <w:tcPr>
            <w:tcW w:w="4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7A63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95.01%</w:t>
            </w:r>
          </w:p>
        </w:tc>
      </w:tr>
      <w:tr w14:paraId="60742B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3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8D519">
            <w:pPr>
              <w:jc w:val="center"/>
              <w:rPr>
                <w:rFonts w:hint="eastAsia" w:ascii="仿宋" w:hAnsi="仿宋" w:eastAsia="仿宋" w:cs="仿宋"/>
                <w:i w:val="0"/>
                <w:iCs w:val="0"/>
                <w:color w:val="000000"/>
                <w:sz w:val="20"/>
                <w:szCs w:val="20"/>
                <w:u w:val="none"/>
              </w:rPr>
            </w:pPr>
          </w:p>
        </w:tc>
        <w:tc>
          <w:tcPr>
            <w:tcW w:w="8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0F211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项目建设期发债利息</w:t>
            </w:r>
          </w:p>
        </w:tc>
        <w:tc>
          <w:tcPr>
            <w:tcW w:w="5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F119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2412.00 </w:t>
            </w: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C91A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288.00 </w:t>
            </w:r>
          </w:p>
        </w:tc>
        <w:tc>
          <w:tcPr>
            <w:tcW w:w="4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BA19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792.00 </w:t>
            </w:r>
          </w:p>
        </w:tc>
        <w:tc>
          <w:tcPr>
            <w:tcW w:w="15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BF99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1332.00 </w:t>
            </w:r>
          </w:p>
        </w:tc>
        <w:tc>
          <w:tcPr>
            <w:tcW w:w="4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8611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4.91%</w:t>
            </w:r>
          </w:p>
        </w:tc>
      </w:tr>
      <w:tr w14:paraId="7C065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73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8A975">
            <w:pPr>
              <w:jc w:val="center"/>
              <w:rPr>
                <w:rFonts w:hint="eastAsia" w:ascii="仿宋" w:hAnsi="仿宋" w:eastAsia="仿宋" w:cs="仿宋"/>
                <w:i w:val="0"/>
                <w:iCs w:val="0"/>
                <w:color w:val="000000"/>
                <w:sz w:val="20"/>
                <w:szCs w:val="20"/>
                <w:u w:val="none"/>
              </w:rPr>
            </w:pPr>
          </w:p>
        </w:tc>
        <w:tc>
          <w:tcPr>
            <w:tcW w:w="8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F4A58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债券发行费</w:t>
            </w:r>
          </w:p>
        </w:tc>
        <w:tc>
          <w:tcPr>
            <w:tcW w:w="5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5081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37.00 </w:t>
            </w: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8BE6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8.00 </w:t>
            </w:r>
          </w:p>
        </w:tc>
        <w:tc>
          <w:tcPr>
            <w:tcW w:w="4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7CD7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14.00 </w:t>
            </w:r>
          </w:p>
        </w:tc>
        <w:tc>
          <w:tcPr>
            <w:tcW w:w="15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F238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15.00 </w:t>
            </w:r>
          </w:p>
        </w:tc>
        <w:tc>
          <w:tcPr>
            <w:tcW w:w="4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C4B1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0.08%</w:t>
            </w:r>
          </w:p>
        </w:tc>
      </w:tr>
      <w:tr w14:paraId="6479E3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73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6CE05">
            <w:pPr>
              <w:jc w:val="center"/>
              <w:rPr>
                <w:rFonts w:hint="eastAsia" w:ascii="仿宋" w:hAnsi="仿宋" w:eastAsia="仿宋" w:cs="仿宋"/>
                <w:i w:val="0"/>
                <w:iCs w:val="0"/>
                <w:color w:val="000000"/>
                <w:sz w:val="20"/>
                <w:szCs w:val="20"/>
                <w:u w:val="none"/>
              </w:rPr>
            </w:pPr>
          </w:p>
        </w:tc>
        <w:tc>
          <w:tcPr>
            <w:tcW w:w="8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6FB5A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项目总投资</w:t>
            </w:r>
          </w:p>
        </w:tc>
        <w:tc>
          <w:tcPr>
            <w:tcW w:w="5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C2D9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49120.00 </w:t>
            </w: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66AE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9630.20 </w:t>
            </w:r>
          </w:p>
        </w:tc>
        <w:tc>
          <w:tcPr>
            <w:tcW w:w="4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34E4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19474.40 </w:t>
            </w:r>
          </w:p>
        </w:tc>
        <w:tc>
          <w:tcPr>
            <w:tcW w:w="15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5392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20015.40 </w:t>
            </w:r>
          </w:p>
        </w:tc>
        <w:tc>
          <w:tcPr>
            <w:tcW w:w="4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557E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100.00%</w:t>
            </w:r>
          </w:p>
        </w:tc>
      </w:tr>
      <w:tr w14:paraId="65F6C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73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C33F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资金使用计划</w:t>
            </w:r>
          </w:p>
        </w:tc>
        <w:tc>
          <w:tcPr>
            <w:tcW w:w="8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3D53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资本金</w:t>
            </w:r>
          </w:p>
        </w:tc>
        <w:tc>
          <w:tcPr>
            <w:tcW w:w="5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BDEB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12120.00 </w:t>
            </w: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2E1F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1630.20 </w:t>
            </w:r>
          </w:p>
        </w:tc>
        <w:tc>
          <w:tcPr>
            <w:tcW w:w="4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5BAC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5474.40 </w:t>
            </w:r>
          </w:p>
        </w:tc>
        <w:tc>
          <w:tcPr>
            <w:tcW w:w="15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3DB3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5015.40 </w:t>
            </w:r>
          </w:p>
        </w:tc>
        <w:tc>
          <w:tcPr>
            <w:tcW w:w="4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D035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24.67%</w:t>
            </w:r>
          </w:p>
        </w:tc>
      </w:tr>
      <w:tr w14:paraId="2EB363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73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125B7">
            <w:pPr>
              <w:jc w:val="center"/>
              <w:rPr>
                <w:rFonts w:hint="eastAsia" w:ascii="仿宋" w:hAnsi="仿宋" w:eastAsia="仿宋" w:cs="仿宋"/>
                <w:i w:val="0"/>
                <w:iCs w:val="0"/>
                <w:color w:val="000000"/>
                <w:sz w:val="20"/>
                <w:szCs w:val="20"/>
                <w:u w:val="none"/>
              </w:rPr>
            </w:pPr>
          </w:p>
        </w:tc>
        <w:tc>
          <w:tcPr>
            <w:tcW w:w="8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CF376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发行债券</w:t>
            </w:r>
          </w:p>
        </w:tc>
        <w:tc>
          <w:tcPr>
            <w:tcW w:w="5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51F3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37000.00 </w:t>
            </w: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5E63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8000.00 </w:t>
            </w:r>
          </w:p>
        </w:tc>
        <w:tc>
          <w:tcPr>
            <w:tcW w:w="4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EDAD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14000.00 </w:t>
            </w:r>
          </w:p>
        </w:tc>
        <w:tc>
          <w:tcPr>
            <w:tcW w:w="15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DB9D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15000.00 </w:t>
            </w:r>
          </w:p>
        </w:tc>
        <w:tc>
          <w:tcPr>
            <w:tcW w:w="4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35F4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75.33%</w:t>
            </w:r>
          </w:p>
        </w:tc>
      </w:tr>
      <w:tr w14:paraId="669D0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73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FB94A">
            <w:pPr>
              <w:jc w:val="center"/>
              <w:rPr>
                <w:rFonts w:hint="eastAsia" w:ascii="仿宋" w:hAnsi="仿宋" w:eastAsia="仿宋" w:cs="仿宋"/>
                <w:i w:val="0"/>
                <w:iCs w:val="0"/>
                <w:color w:val="000000"/>
                <w:sz w:val="20"/>
                <w:szCs w:val="20"/>
                <w:u w:val="none"/>
              </w:rPr>
            </w:pPr>
          </w:p>
        </w:tc>
        <w:tc>
          <w:tcPr>
            <w:tcW w:w="8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15D10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资金使用合计</w:t>
            </w:r>
          </w:p>
        </w:tc>
        <w:tc>
          <w:tcPr>
            <w:tcW w:w="5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4638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49120.00 </w:t>
            </w: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FBEB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9630.20 </w:t>
            </w:r>
          </w:p>
        </w:tc>
        <w:tc>
          <w:tcPr>
            <w:tcW w:w="4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DD8E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19474.40 </w:t>
            </w:r>
          </w:p>
        </w:tc>
        <w:tc>
          <w:tcPr>
            <w:tcW w:w="15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BCA8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20015.40 </w:t>
            </w:r>
          </w:p>
        </w:tc>
        <w:tc>
          <w:tcPr>
            <w:tcW w:w="4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9625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100.00%</w:t>
            </w:r>
          </w:p>
        </w:tc>
      </w:tr>
    </w:tbl>
    <w:p w14:paraId="04220FF2">
      <w:pPr>
        <w:pStyle w:val="30"/>
        <w:jc w:val="both"/>
        <w:rPr>
          <w:rFonts w:hint="eastAsia"/>
          <w:color w:val="auto"/>
        </w:rPr>
      </w:pPr>
    </w:p>
    <w:p w14:paraId="5EAB4621">
      <w:pPr>
        <w:spacing w:line="560" w:lineRule="exact"/>
        <w:ind w:firstLine="640"/>
        <w:rPr>
          <w:rFonts w:ascii="黑体" w:hAnsi="黑体" w:eastAsia="黑体"/>
          <w:color w:val="auto"/>
          <w:sz w:val="32"/>
          <w:szCs w:val="32"/>
        </w:rPr>
      </w:pPr>
      <w:r>
        <w:rPr>
          <w:rFonts w:hint="eastAsia" w:ascii="黑体" w:hAnsi="黑体" w:eastAsia="黑体"/>
          <w:color w:val="auto"/>
          <w:sz w:val="32"/>
          <w:szCs w:val="32"/>
        </w:rPr>
        <w:t>四、项目预期收益、成本及融资平衡情况</w:t>
      </w:r>
    </w:p>
    <w:p w14:paraId="7E9030EE">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（一）预期收益</w:t>
      </w:r>
    </w:p>
    <w:p w14:paraId="39BC7D5F">
      <w:pPr>
        <w:spacing w:line="560" w:lineRule="exact"/>
        <w:ind w:firstLine="643"/>
        <w:rPr>
          <w:rFonts w:ascii="仿宋_GB2312" w:hAnsi="Calibri" w:eastAsia="仿宋_GB2312"/>
          <w:b/>
          <w:color w:val="auto"/>
          <w:sz w:val="32"/>
          <w:szCs w:val="32"/>
        </w:rPr>
      </w:pPr>
      <w:r>
        <w:rPr>
          <w:rFonts w:hint="eastAsia" w:ascii="仿宋_GB2312" w:hAnsi="Calibri" w:eastAsia="仿宋_GB2312"/>
          <w:b/>
          <w:color w:val="auto"/>
          <w:sz w:val="32"/>
          <w:szCs w:val="32"/>
        </w:rPr>
        <w:t>1.项目收入</w:t>
      </w:r>
    </w:p>
    <w:p w14:paraId="4D4C4959">
      <w:pPr>
        <w:ind w:firstLine="480"/>
        <w:rPr>
          <w:color w:val="auto"/>
        </w:rPr>
      </w:pPr>
      <w:bookmarkStart w:id="1" w:name="_Hlk43423686"/>
      <w:bookmarkStart w:id="2" w:name="_Hlk41910341"/>
      <w:r>
        <w:rPr>
          <w:rFonts w:hint="eastAsia"/>
          <w:color w:val="auto"/>
        </w:rPr>
        <w:t>雅安市雨城区高技术科创园建设项目（一期）收入来源主要为项目建成后定制厂房出租收入、物管费收入、充电桩收入、停车费收入、广告收入、砂卵石销售收入。项目运营期内运营收入合计</w:t>
      </w:r>
      <w:r>
        <w:rPr>
          <w:rFonts w:hint="eastAsia"/>
          <w:color w:val="auto"/>
          <w:lang w:eastAsia="zh-CN"/>
        </w:rPr>
        <w:t>173708.24</w:t>
      </w:r>
      <w:r>
        <w:rPr>
          <w:color w:val="auto"/>
        </w:rPr>
        <w:t>万元，属于专项收入，纳入政府性基金预算管理，。项目收入来源有事实依据，整体具有可行性。</w:t>
      </w:r>
    </w:p>
    <w:bookmarkEnd w:id="1"/>
    <w:p w14:paraId="192FA134">
      <w:pPr>
        <w:spacing w:line="560" w:lineRule="exact"/>
        <w:ind w:firstLine="643"/>
        <w:rPr>
          <w:rFonts w:ascii="仿宋_GB2312" w:hAnsi="Calibri" w:eastAsia="仿宋_GB2312"/>
          <w:b/>
          <w:color w:val="auto"/>
          <w:sz w:val="32"/>
          <w:szCs w:val="32"/>
        </w:rPr>
      </w:pPr>
      <w:r>
        <w:rPr>
          <w:rFonts w:hint="eastAsia" w:ascii="仿宋_GB2312" w:hAnsi="Calibri" w:eastAsia="仿宋_GB2312"/>
          <w:b/>
          <w:color w:val="auto"/>
          <w:sz w:val="32"/>
          <w:szCs w:val="32"/>
        </w:rPr>
        <w:t>2.项目成本</w:t>
      </w:r>
    </w:p>
    <w:p w14:paraId="5BB609BE">
      <w:pPr>
        <w:ind w:firstLine="480"/>
        <w:rPr>
          <w:bCs/>
          <w:color w:val="auto"/>
          <w:kern w:val="0"/>
        </w:rPr>
      </w:pPr>
      <w:r>
        <w:rPr>
          <w:rFonts w:hint="eastAsia"/>
          <w:bCs/>
          <w:color w:val="auto"/>
          <w:kern w:val="0"/>
        </w:rPr>
        <w:t xml:space="preserve">本项目建成后运营期间的成本费用，共计104306.84 </w:t>
      </w:r>
      <w:r>
        <w:rPr>
          <w:bCs/>
          <w:color w:val="auto"/>
          <w:kern w:val="0"/>
        </w:rPr>
        <w:t>万元，主要包括人员工资及福利费、</w:t>
      </w:r>
      <w:r>
        <w:rPr>
          <w:rFonts w:hint="eastAsia"/>
          <w:bCs/>
          <w:color w:val="auto"/>
          <w:kern w:val="0"/>
          <w:lang w:val="en-US" w:eastAsia="zh-CN"/>
        </w:rPr>
        <w:t>管理费用、营销费用、经营成本、砂卵石运营成本、</w:t>
      </w:r>
      <w:r>
        <w:rPr>
          <w:bCs/>
          <w:color w:val="auto"/>
          <w:kern w:val="0"/>
        </w:rPr>
        <w:t>动力费、修缮费、折旧与摊销、相关税费和利息。</w:t>
      </w:r>
    </w:p>
    <w:p w14:paraId="296A6F32">
      <w:pPr>
        <w:pStyle w:val="2"/>
        <w:rPr>
          <w:color w:val="auto"/>
        </w:rPr>
      </w:pPr>
    </w:p>
    <w:p w14:paraId="4C4A5D56">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（二）资金测算平衡情况</w:t>
      </w:r>
    </w:p>
    <w:p w14:paraId="38BF83B6">
      <w:pPr>
        <w:ind w:firstLine="480"/>
        <w:rPr>
          <w:color w:val="auto"/>
        </w:rPr>
      </w:pPr>
      <w:r>
        <w:rPr>
          <w:rFonts w:hint="eastAsia"/>
          <w:color w:val="auto"/>
        </w:rPr>
        <w:t>雅安市雨城区高技术科创园建设项目（一期）采用政府专项债方式融资，待本项目全部</w:t>
      </w:r>
      <w:r>
        <w:rPr>
          <w:rFonts w:hint="eastAsia"/>
          <w:color w:val="auto"/>
          <w:lang w:eastAsia="zh-CN"/>
        </w:rPr>
        <w:t>37000.00</w:t>
      </w:r>
      <w:r>
        <w:rPr>
          <w:rFonts w:hint="eastAsia"/>
          <w:color w:val="auto"/>
        </w:rPr>
        <w:t>万元专项债及到期时，在偿还到期的融资本息后，将仍有</w:t>
      </w:r>
      <w:r>
        <w:rPr>
          <w:rFonts w:hint="eastAsia"/>
          <w:color w:val="auto"/>
          <w:lang w:eastAsia="zh-CN"/>
        </w:rPr>
        <w:t>39421.51</w:t>
      </w:r>
      <w:r>
        <w:rPr>
          <w:rFonts w:hint="eastAsia"/>
          <w:color w:val="auto"/>
        </w:rPr>
        <w:t>万元的累计现金结余。</w:t>
      </w:r>
    </w:p>
    <w:p w14:paraId="3CBFE08E">
      <w:pPr>
        <w:ind w:firstLine="480"/>
        <w:rPr>
          <w:color w:val="auto"/>
        </w:rPr>
      </w:pPr>
      <w:r>
        <w:rPr>
          <w:rFonts w:hint="eastAsia"/>
          <w:color w:val="auto"/>
        </w:rPr>
        <w:t>其中：项目债券本息覆盖倍数为</w:t>
      </w:r>
      <w:r>
        <w:rPr>
          <w:rFonts w:hint="eastAsia"/>
          <w:color w:val="auto"/>
          <w:lang w:val="en-US" w:eastAsia="zh-CN"/>
        </w:rPr>
        <w:t>1.58</w:t>
      </w:r>
      <w:r>
        <w:rPr>
          <w:rFonts w:hint="eastAsia"/>
          <w:color w:val="auto"/>
        </w:rPr>
        <w:t>倍。预期实现的运营净收入能够合理保障偿还融资本金和利息，能够实现项目收益和融资自求平衡。</w:t>
      </w:r>
    </w:p>
    <w:p w14:paraId="020E829C">
      <w:pPr>
        <w:ind w:firstLine="480"/>
        <w:rPr>
          <w:color w:val="auto"/>
        </w:rPr>
      </w:pPr>
      <w:r>
        <w:rPr>
          <w:rFonts w:hint="eastAsia"/>
          <w:color w:val="auto"/>
        </w:rPr>
        <w:t>项目资金测算平衡情况如下表所示：</w:t>
      </w:r>
    </w:p>
    <w:p w14:paraId="34955036">
      <w:pPr>
        <w:ind w:firstLine="480"/>
        <w:rPr>
          <w:color w:val="auto"/>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14:paraId="3089E335">
      <w:pPr>
        <w:pStyle w:val="30"/>
        <w:rPr>
          <w:color w:val="auto"/>
        </w:rPr>
      </w:pPr>
      <w:r>
        <w:rPr>
          <w:color w:val="auto"/>
        </w:rPr>
        <w:t>项目专项债券</w:t>
      </w:r>
      <w:r>
        <w:rPr>
          <w:rFonts w:hint="eastAsia"/>
          <w:color w:val="auto"/>
          <w:lang w:val="en-US" w:eastAsia="zh-Hans"/>
        </w:rPr>
        <w:t>还本付息表</w:t>
      </w:r>
      <w:r>
        <w:rPr>
          <w:rFonts w:hint="eastAsia"/>
          <w:color w:val="auto"/>
        </w:rPr>
        <w:t>（金额单位：人民币万元）</w:t>
      </w:r>
    </w:p>
    <w:tbl>
      <w:tblPr>
        <w:tblStyle w:val="1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272"/>
        <w:gridCol w:w="1310"/>
        <w:gridCol w:w="595"/>
        <w:gridCol w:w="467"/>
        <w:gridCol w:w="530"/>
        <w:gridCol w:w="530"/>
        <w:gridCol w:w="530"/>
        <w:gridCol w:w="530"/>
        <w:gridCol w:w="530"/>
        <w:gridCol w:w="530"/>
        <w:gridCol w:w="530"/>
        <w:gridCol w:w="530"/>
        <w:gridCol w:w="533"/>
        <w:gridCol w:w="533"/>
        <w:gridCol w:w="533"/>
        <w:gridCol w:w="533"/>
        <w:gridCol w:w="533"/>
        <w:gridCol w:w="533"/>
        <w:gridCol w:w="533"/>
        <w:gridCol w:w="533"/>
        <w:gridCol w:w="533"/>
        <w:gridCol w:w="533"/>
        <w:gridCol w:w="533"/>
        <w:gridCol w:w="533"/>
        <w:gridCol w:w="533"/>
      </w:tblGrid>
      <w:tr w14:paraId="00F94D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103B4">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序号</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A6D582">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项目</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746354">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 xml:space="preserve"> 合计</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A5A25">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 xml:space="preserve"> 建设期</w:t>
            </w:r>
          </w:p>
        </w:tc>
        <w:tc>
          <w:tcPr>
            <w:tcW w:w="0" w:type="auto"/>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2ED4F364">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项目还款期</w:t>
            </w:r>
          </w:p>
        </w:tc>
      </w:tr>
      <w:tr w14:paraId="05E91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E11B9">
            <w:pPr>
              <w:jc w:val="center"/>
              <w:rPr>
                <w:rFonts w:hint="eastAsia" w:ascii="宋体" w:hAnsi="宋体" w:eastAsia="宋体" w:cs="宋体"/>
                <w:b/>
                <w:bCs/>
                <w:i w:val="0"/>
                <w:iCs w:val="0"/>
                <w:color w:val="000000"/>
                <w:sz w:val="13"/>
                <w:szCs w:val="13"/>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729118">
            <w:pPr>
              <w:jc w:val="center"/>
              <w:rPr>
                <w:rFonts w:hint="eastAsia" w:ascii="宋体" w:hAnsi="宋体" w:eastAsia="宋体" w:cs="宋体"/>
                <w:b/>
                <w:bCs/>
                <w:i w:val="0"/>
                <w:iCs w:val="0"/>
                <w:color w:val="000000"/>
                <w:sz w:val="13"/>
                <w:szCs w:val="13"/>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F66139">
            <w:pPr>
              <w:jc w:val="center"/>
              <w:rPr>
                <w:rFonts w:hint="eastAsia" w:ascii="宋体" w:hAnsi="宋体" w:eastAsia="宋体" w:cs="宋体"/>
                <w:b/>
                <w:bCs/>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BDD23">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 xml:space="preserve"> 第1年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A9A82">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 xml:space="preserve"> 第2年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DBE17">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 xml:space="preserve"> 第3年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D2B93">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 xml:space="preserve"> 第4年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3BCC4">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 xml:space="preserve"> 第5年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728C4">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 xml:space="preserve"> 第6年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E02B2">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 xml:space="preserve"> 第7年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328F8">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 xml:space="preserve"> 第8年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23903">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 xml:space="preserve"> 第9年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4969A">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 xml:space="preserve"> 第10年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4E05E">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 xml:space="preserve"> 第11年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6C2A8">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 xml:space="preserve"> 第12年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D5FBF">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 xml:space="preserve"> 第13年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D0D89">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 xml:space="preserve"> 第14年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8A19A">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 xml:space="preserve"> 第15年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FB0C1">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 xml:space="preserve"> 第16年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09857">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 xml:space="preserve"> 第17年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628E9">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 xml:space="preserve"> 第18年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030FE">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 xml:space="preserve"> 第19年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59796">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 xml:space="preserve"> 第20年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F39B4">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 xml:space="preserve"> 第21年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F4FEB">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 xml:space="preserve"> 第22年</w:t>
            </w:r>
          </w:p>
        </w:tc>
      </w:tr>
      <w:tr w14:paraId="07CAA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37A36">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一</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8008D0">
            <w:pPr>
              <w:keepNext w:val="0"/>
              <w:keepLines w:val="0"/>
              <w:widowControl/>
              <w:suppressLineNumbers w:val="0"/>
              <w:spacing w:line="240" w:lineRule="auto"/>
              <w:ind w:firstLine="0" w:firstLineChars="0"/>
              <w:jc w:val="left"/>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发行债券（利率）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37DB5">
            <w:pPr>
              <w:rPr>
                <w:rFonts w:hint="eastAsia" w:ascii="宋体" w:hAnsi="宋体" w:eastAsia="宋体" w:cs="宋体"/>
                <w:b/>
                <w:bCs/>
                <w:i w:val="0"/>
                <w:iCs w:val="0"/>
                <w:color w:val="FF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60517">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3.60%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F90D8">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3.60%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66074">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3.60%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FBA3B">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3.60%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E4235">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3.60%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79FFC">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3.60%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52969">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3.60%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50DD2">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3.60%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6C7BA">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3.60%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D4611">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3.60%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2831E">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3.60%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EB51E">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3.60%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9CC37">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3.60%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10B26">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3.60%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25C6F">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3.60%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7BDEF">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3.60%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C9097">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3.60%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D32B8">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3.60%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72F01">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3.60%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A585F">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3.60%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D5CF8">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3.60%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A789D">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3.60%</w:t>
            </w:r>
          </w:p>
        </w:tc>
      </w:tr>
      <w:tr w14:paraId="0A3BC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B0EA0">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881F6A">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期初本金金额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BCCC5">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18F37">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583B6">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8000.00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AB20E">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22000.00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77A73">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37000.00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425BC">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37000.00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8EEA9">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37000.00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0BA33">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37000.00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D8548">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37000.00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B8EDA">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37000.00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40B4C">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37000.00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37F88">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37000.00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F551B">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37000.00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F3DA0">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37000.00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81E9B">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37000.00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C3121">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37000.00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9E9D3">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37000.00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CEFFD">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37000.00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400D9">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37000.00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72F38">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37000.00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74C5E">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37000.00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66335">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29000.00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662DD">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15000.00</w:t>
            </w:r>
          </w:p>
        </w:tc>
      </w:tr>
      <w:tr w14:paraId="69B0A9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091FC">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652C35">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本年新增本金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48C64">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37000.00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2E127">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8000.00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CC9B3">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14000.00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2A387">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15000.00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76BD9">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CE08F">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A969D">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D9486">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86C70">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596DD">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44045">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6C14F">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589DE">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1043D">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85383">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424DE">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1D1BE">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2BD67">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20190E56">
            <w:pP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7EE4BBA3">
            <w:pP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31CA584C">
            <w:pP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194EAC4C">
            <w:pP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5B400963">
            <w:pPr>
              <w:rPr>
                <w:rFonts w:hint="eastAsia" w:ascii="宋体" w:hAnsi="宋体" w:eastAsia="宋体" w:cs="宋体"/>
                <w:i w:val="0"/>
                <w:iCs w:val="0"/>
                <w:color w:val="000000"/>
                <w:sz w:val="13"/>
                <w:szCs w:val="13"/>
                <w:u w:val="none"/>
              </w:rPr>
            </w:pPr>
          </w:p>
        </w:tc>
      </w:tr>
      <w:tr w14:paraId="422A3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E00AB">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3072AA">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本年应计利息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0EC52">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26640.00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1B424">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288.00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91E52">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792.00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7CB55">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3A798">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94CF1">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1A426">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3C22A">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F1DD3">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5F1EA">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4A4D7">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D9EBB">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F76E8">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F20F5">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5005C">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3BC5D">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34389">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94FD8">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BF541">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101F8">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89F0B">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45414">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1044.00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073F3">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540.00</w:t>
            </w:r>
          </w:p>
        </w:tc>
      </w:tr>
      <w:tr w14:paraId="0104F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675FC14C">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6555C8">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其中：计入建设期利息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756CD">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2412.00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39ADF">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288.00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FB007">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792.00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F5952">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A2157">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53931">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2E623">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04A47">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1D96E">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8055B">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71E58">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C5745">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A53E2">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0100E">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39A4D">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B2EED">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7D724">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2D6B7">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1C54B38C">
            <w:pP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44ED8E7C">
            <w:pP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2C24DB8A">
            <w:pP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6BD84E7B">
            <w:pP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55EAF4F2">
            <w:pPr>
              <w:rPr>
                <w:rFonts w:hint="eastAsia" w:ascii="宋体" w:hAnsi="宋体" w:eastAsia="宋体" w:cs="宋体"/>
                <w:i w:val="0"/>
                <w:iCs w:val="0"/>
                <w:color w:val="000000"/>
                <w:sz w:val="13"/>
                <w:szCs w:val="13"/>
                <w:u w:val="none"/>
              </w:rPr>
            </w:pPr>
          </w:p>
        </w:tc>
      </w:tr>
      <w:tr w14:paraId="67D9C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07CCD664">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ED8904">
            <w:pPr>
              <w:keepNext w:val="0"/>
              <w:keepLines w:val="0"/>
              <w:widowControl/>
              <w:suppressLineNumbers w:val="0"/>
              <w:spacing w:line="240" w:lineRule="auto"/>
              <w:ind w:firstLine="0" w:firstLineChars="0"/>
              <w:jc w:val="both"/>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计入还款期利息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0D056">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24228.00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F834F">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801B6">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DEF4D">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92433">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80E86">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EC040">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40B9A">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056A5">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0E8B4">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35AD4">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3E41E">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FECC1">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5E170">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73AFA">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B5DA1">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913C9">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81545">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5EB6D">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A3E76">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7B8F4">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978AC">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1044.00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3F77F">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540.00</w:t>
            </w:r>
          </w:p>
        </w:tc>
      </w:tr>
      <w:tr w14:paraId="283BCA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589DA">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55C881">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本年还本付息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21758">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63640.00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C2753">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288.00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EDD5F">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792.00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33877">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91F77">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CB64B">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7DBB6">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65571">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618AB">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DC667">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2A2BE">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7A899">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EA11A">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6B19E">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A5C57">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DF357">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2E33C">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A409A">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6D5B3">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97F5B">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5A3FC">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9332.00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89F0E">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15044.00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0B252">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15540.00</w:t>
            </w:r>
          </w:p>
        </w:tc>
      </w:tr>
      <w:tr w14:paraId="37868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4F26781C">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E7008B">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还本</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B466B">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37000.00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D7410">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3E2FA">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F4913">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1212F">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A56A8">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DC55F">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EE3B8">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16189">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B4B32">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424A9">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0B300">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40E67">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782BD">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4489D">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C5E59">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66A20">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B510C">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1DD98">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6770A">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2FC84">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8000.00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AE69B">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14000.00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D4367">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15000.00</w:t>
            </w:r>
          </w:p>
        </w:tc>
      </w:tr>
      <w:tr w14:paraId="1DB5F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3C84DDF2">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16A0B7">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付息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D8AEC">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26640.00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F0BAD">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288.00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B3263">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792.00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3CBC7">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DA360">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0D8EF">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1C870">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5406E">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EF044">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FA649">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E25A4">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A9883">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3FEFF">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6D8DF">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B4BA8">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7543A">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5F4B1">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18D8F">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C63B6">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0699A">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5B130">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EB08D">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1044.00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5FE6B">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540.00</w:t>
            </w:r>
          </w:p>
        </w:tc>
      </w:tr>
      <w:tr w14:paraId="77D726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595B1">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0B6FB9">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期末本金金额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03DA8">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0D528">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8000.00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60CF3">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22000.00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220C8">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37000.00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88562">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37000.00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101B0">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37000.00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2F571">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37000.00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8D84D">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37000.00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462F2">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37000.00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E3834">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37000.00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993A1">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37000.00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2AE70">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37000.00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9B97C">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37000.00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66449">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37000.00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C9D7D">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37000.00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94BB2">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37000.00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9099A">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37000.00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C105E">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37000.00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69065">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37000.00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3B126">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37000.00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16965">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29000.00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551D8">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15000.00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053C9">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0.00</w:t>
            </w:r>
          </w:p>
        </w:tc>
      </w:tr>
      <w:tr w14:paraId="39F4C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BEB74">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二</w:t>
            </w:r>
          </w:p>
        </w:tc>
        <w:tc>
          <w:tcPr>
            <w:tcW w:w="0" w:type="auto"/>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610CDE48">
            <w:pPr>
              <w:keepNext w:val="0"/>
              <w:keepLines w:val="0"/>
              <w:widowControl/>
              <w:suppressLineNumbers w:val="0"/>
              <w:spacing w:line="240" w:lineRule="auto"/>
              <w:ind w:firstLine="0" w:firstLineChars="0"/>
              <w:jc w:val="left"/>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还款资金来源及还款分析</w:t>
            </w:r>
          </w:p>
        </w:tc>
      </w:tr>
      <w:tr w14:paraId="02151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BDB65">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DA55CC">
            <w:pPr>
              <w:keepNext w:val="0"/>
              <w:keepLines w:val="0"/>
              <w:widowControl/>
              <w:suppressLineNumbers w:val="0"/>
              <w:spacing w:line="240" w:lineRule="auto"/>
              <w:ind w:firstLine="0" w:firstLineChars="0"/>
              <w:jc w:val="left"/>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还款资金来源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B6E04">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100649.51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9B728">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C33CC">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1F2F9">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2519B">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4946.42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5F79A">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5057.67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2F429">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5168.73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D97D5">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5488.13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0E792">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5332.16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51AA1">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4790.48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8CB1F">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5012.24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5D950">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5008.29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1DEEA">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5004.32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908E0">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5238.29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27A21">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5247.77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915F2">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5243.45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2CB9E">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5491.34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97305">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5486.67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33673">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5481.98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6368C">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5579.75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0BEBA">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5754.84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B3F78">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5677.64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770F8">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5639.34</w:t>
            </w:r>
          </w:p>
        </w:tc>
      </w:tr>
      <w:tr w14:paraId="05CFE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AE440">
            <w:pPr>
              <w:jc w:val="center"/>
              <w:rPr>
                <w:rFonts w:hint="eastAsia" w:ascii="宋体" w:hAnsi="宋体" w:eastAsia="宋体" w:cs="宋体"/>
                <w:b/>
                <w:bCs/>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45F81A">
            <w:pPr>
              <w:keepNext w:val="0"/>
              <w:keepLines w:val="0"/>
              <w:widowControl/>
              <w:suppressLineNumbers w:val="0"/>
              <w:spacing w:line="240" w:lineRule="auto"/>
              <w:ind w:firstLine="0" w:firstLineChars="0"/>
              <w:jc w:val="left"/>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当年净利润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32DCC">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38249.56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DCE10">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40561">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A1A10">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B165B">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1605.37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257E9">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1716.62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30F4D">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1827.68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680CF">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2147.08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E9E8A">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1991.11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D62EC">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1449.43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68F2F">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1671.19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2ADB1">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1667.24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67ADD">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1663.27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472AD">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1897.24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40F85">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1906.72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A0CD5">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1902.40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B8EB8">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2150.29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3CDEB">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2145.62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90B35">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2140.93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BB975">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2238.70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31C2D">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2413.79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92B11">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2624.59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67D2B">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3090.29</w:t>
            </w:r>
          </w:p>
        </w:tc>
      </w:tr>
      <w:tr w14:paraId="36F8A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AD421">
            <w:pPr>
              <w:jc w:val="center"/>
              <w:rPr>
                <w:rFonts w:hint="eastAsia" w:ascii="宋体" w:hAnsi="宋体" w:eastAsia="宋体" w:cs="宋体"/>
                <w:b/>
                <w:bCs/>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2196DA">
            <w:pPr>
              <w:keepNext w:val="0"/>
              <w:keepLines w:val="0"/>
              <w:widowControl/>
              <w:suppressLineNumbers w:val="0"/>
              <w:spacing w:line="240" w:lineRule="auto"/>
              <w:ind w:firstLine="0" w:firstLineChars="0"/>
              <w:jc w:val="left"/>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债券财务费用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F6E3F">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24228.00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C80D1">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D2236">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6128E">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CF4D3">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004EA">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0736C">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A905A">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83D6E">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8264B">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51A84">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C8917">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D02CC">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3A863">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B6AD3">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39E35">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6ABAA">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E49D1">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198C0">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0B261">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4DD77">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1332.00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00012">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1044.00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7B797">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540.00</w:t>
            </w:r>
          </w:p>
        </w:tc>
      </w:tr>
      <w:tr w14:paraId="72A040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2E4BF">
            <w:pPr>
              <w:jc w:val="center"/>
              <w:rPr>
                <w:rFonts w:hint="eastAsia" w:ascii="宋体" w:hAnsi="宋体" w:eastAsia="宋体" w:cs="宋体"/>
                <w:b/>
                <w:bCs/>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FE1740">
            <w:pPr>
              <w:keepNext w:val="0"/>
              <w:keepLines w:val="0"/>
              <w:widowControl/>
              <w:suppressLineNumbers w:val="0"/>
              <w:spacing w:line="240" w:lineRule="auto"/>
              <w:ind w:firstLine="0" w:firstLineChars="0"/>
              <w:jc w:val="left"/>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折旧及摊销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30A02">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38171.95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610E9">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4192A">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74467">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23DA4">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2009.05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0B459">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2009.05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3AD47">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2009.05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78E02">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2009.05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4026C">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2009.05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4EC84">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2009.05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A3820">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2009.05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D76B6">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2009.05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7A87B">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2009.05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3496A">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2009.05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9BCD2">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2009.05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0971B">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2009.05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498B6">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2009.05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424F4">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2009.05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C76BA">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2009.05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10225">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2009.05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EE72E">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2009.05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63F60">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2009.05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4F6F1">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2009.05</w:t>
            </w:r>
          </w:p>
        </w:tc>
      </w:tr>
      <w:tr w14:paraId="553156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B2513">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2</w:t>
            </w:r>
          </w:p>
        </w:tc>
        <w:tc>
          <w:tcPr>
            <w:tcW w:w="0" w:type="auto"/>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2D3546B5">
            <w:pPr>
              <w:keepNext w:val="0"/>
              <w:keepLines w:val="0"/>
              <w:widowControl/>
              <w:suppressLineNumbers w:val="0"/>
              <w:spacing w:line="240" w:lineRule="auto"/>
              <w:ind w:firstLine="0" w:firstLineChars="0"/>
              <w:jc w:val="left"/>
              <w:textAlignment w:val="center"/>
              <w:rPr>
                <w:rFonts w:hint="eastAsia" w:ascii="宋体" w:hAnsi="宋体" w:eastAsia="宋体" w:cs="宋体"/>
                <w:b/>
                <w:bCs/>
                <w:i w:val="0"/>
                <w:iCs w:val="0"/>
                <w:color w:val="000000"/>
                <w:sz w:val="13"/>
                <w:szCs w:val="13"/>
                <w:u w:val="none"/>
              </w:rPr>
            </w:pPr>
            <w:r>
              <w:rPr>
                <w:rFonts w:hint="eastAsia" w:ascii="宋体" w:hAnsi="宋体" w:eastAsia="宋体" w:cs="宋体"/>
                <w:b/>
                <w:bCs/>
                <w:i w:val="0"/>
                <w:iCs w:val="0"/>
                <w:color w:val="000000"/>
                <w:kern w:val="0"/>
                <w:sz w:val="13"/>
                <w:szCs w:val="13"/>
                <w:u w:val="none"/>
                <w:lang w:val="en-US" w:eastAsia="zh-CN" w:bidi="ar"/>
              </w:rPr>
              <w:t>本息偿还分析</w:t>
            </w:r>
          </w:p>
        </w:tc>
      </w:tr>
      <w:tr w14:paraId="5A383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4B912B0B">
            <w:pPr>
              <w:jc w:val="cente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8AE18E">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本息覆盖倍数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992CB">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D7B6D">
            <w:pP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419A6">
            <w:pP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A0584">
            <w:pP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40E7A">
            <w:pP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55557">
            <w:pP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0B764">
            <w:pP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A0D8B">
            <w:pP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A011A">
            <w:pP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3F0A1">
            <w:pP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9AA8D">
            <w:pP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98ECA">
            <w:pP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2EBFC">
            <w:pP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CAF55">
            <w:pP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931C6">
            <w:pP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524BC">
            <w:pP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BA0E8">
            <w:pP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497CF">
            <w:pP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3ED68D5C">
            <w:pP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1E0E7BD0">
            <w:pP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61BBFA29">
            <w:pP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6603BCCC">
            <w:pPr>
              <w:rPr>
                <w:rFonts w:hint="eastAsia" w:ascii="宋体" w:hAnsi="宋体" w:eastAsia="宋体" w:cs="宋体"/>
                <w:i w:val="0"/>
                <w:iCs w:val="0"/>
                <w:color w:val="000000"/>
                <w:sz w:val="13"/>
                <w:szCs w:val="13"/>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47A29EBA">
            <w:pPr>
              <w:rPr>
                <w:rFonts w:hint="eastAsia" w:ascii="宋体" w:hAnsi="宋体" w:eastAsia="宋体" w:cs="宋体"/>
                <w:i w:val="0"/>
                <w:iCs w:val="0"/>
                <w:color w:val="000000"/>
                <w:sz w:val="13"/>
                <w:szCs w:val="13"/>
                <w:u w:val="none"/>
              </w:rPr>
            </w:pPr>
          </w:p>
        </w:tc>
      </w:tr>
    </w:tbl>
    <w:p w14:paraId="17EC4AC4">
      <w:pPr>
        <w:ind w:firstLine="0"/>
        <w:rPr>
          <w:color w:val="auto"/>
        </w:rPr>
      </w:pPr>
      <w:r>
        <w:rPr>
          <w:color w:val="auto"/>
        </w:rPr>
        <w:br w:type="page"/>
      </w:r>
    </w:p>
    <w:p w14:paraId="30D01A58">
      <w:pPr>
        <w:pStyle w:val="3"/>
        <w:ind w:firstLine="480"/>
        <w:rPr>
          <w:color w:val="auto"/>
          <w:sz w:val="21"/>
        </w:rPr>
      </w:pPr>
    </w:p>
    <w:p w14:paraId="27FA540F">
      <w:pPr>
        <w:pStyle w:val="30"/>
        <w:rPr>
          <w:rFonts w:hint="eastAsia"/>
          <w:color w:val="auto"/>
        </w:rPr>
      </w:pPr>
      <w:r>
        <w:rPr>
          <w:rFonts w:hint="eastAsia"/>
          <w:color w:val="auto"/>
          <w:lang w:val="en-US" w:eastAsia="zh-Hans"/>
        </w:rPr>
        <w:t>项目资金测算平衡表</w:t>
      </w:r>
      <w:r>
        <w:rPr>
          <w:rFonts w:hint="eastAsia"/>
          <w:color w:val="auto"/>
        </w:rPr>
        <w:t>（金额单位：人民币万元）</w:t>
      </w:r>
    </w:p>
    <w:tbl>
      <w:tblPr>
        <w:tblStyle w:val="14"/>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440"/>
        <w:gridCol w:w="780"/>
        <w:gridCol w:w="603"/>
        <w:gridCol w:w="656"/>
        <w:gridCol w:w="662"/>
        <w:gridCol w:w="603"/>
        <w:gridCol w:w="603"/>
        <w:gridCol w:w="603"/>
        <w:gridCol w:w="603"/>
        <w:gridCol w:w="603"/>
        <w:gridCol w:w="604"/>
        <w:gridCol w:w="604"/>
        <w:gridCol w:w="604"/>
        <w:gridCol w:w="604"/>
        <w:gridCol w:w="604"/>
        <w:gridCol w:w="604"/>
        <w:gridCol w:w="604"/>
        <w:gridCol w:w="604"/>
        <w:gridCol w:w="604"/>
        <w:gridCol w:w="604"/>
        <w:gridCol w:w="604"/>
        <w:gridCol w:w="604"/>
        <w:gridCol w:w="657"/>
        <w:gridCol w:w="687"/>
        <w:gridCol w:w="657"/>
      </w:tblGrid>
      <w:tr w14:paraId="75789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02" w:hRule="atLeast"/>
        </w:trPr>
        <w:tc>
          <w:tcPr>
            <w:tcW w:w="14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6F1C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序号</w:t>
            </w:r>
          </w:p>
        </w:tc>
        <w:tc>
          <w:tcPr>
            <w:tcW w:w="24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8992D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项目</w:t>
            </w:r>
          </w:p>
        </w:tc>
        <w:tc>
          <w:tcPr>
            <w:tcW w:w="624" w:type="pct"/>
            <w:gridSpan w:val="3"/>
            <w:tcBorders>
              <w:top w:val="single" w:color="000000" w:sz="4" w:space="0"/>
              <w:left w:val="single" w:color="000000" w:sz="4" w:space="0"/>
              <w:bottom w:val="single" w:color="000000" w:sz="4" w:space="0"/>
              <w:right w:val="nil"/>
            </w:tcBorders>
            <w:shd w:val="clear" w:color="auto" w:fill="auto"/>
            <w:noWrap/>
            <w:vAlign w:val="center"/>
          </w:tcPr>
          <w:p w14:paraId="12FC6EA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建设期</w:t>
            </w:r>
          </w:p>
        </w:tc>
        <w:tc>
          <w:tcPr>
            <w:tcW w:w="3768" w:type="pct"/>
            <w:gridSpan w:val="19"/>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9A21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运营期（年）</w:t>
            </w:r>
          </w:p>
        </w:tc>
        <w:tc>
          <w:tcPr>
            <w:tcW w:w="21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777A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合计</w:t>
            </w:r>
          </w:p>
        </w:tc>
      </w:tr>
      <w:tr w14:paraId="65F5E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02" w:hRule="atLeast"/>
        </w:trPr>
        <w:tc>
          <w:tcPr>
            <w:tcW w:w="14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5E743">
            <w:pPr>
              <w:jc w:val="center"/>
              <w:rPr>
                <w:rFonts w:hint="eastAsia" w:ascii="仿宋" w:hAnsi="仿宋" w:eastAsia="仿宋" w:cs="仿宋"/>
                <w:i w:val="0"/>
                <w:iCs w:val="0"/>
                <w:color w:val="000000"/>
                <w:sz w:val="14"/>
                <w:szCs w:val="14"/>
                <w:u w:val="none"/>
              </w:rPr>
            </w:pPr>
          </w:p>
        </w:tc>
        <w:tc>
          <w:tcPr>
            <w:tcW w:w="24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B284DF">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DF66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A6EF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2</w:t>
            </w:r>
          </w:p>
        </w:tc>
        <w:tc>
          <w:tcPr>
            <w:tcW w:w="2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CE12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4B2A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F428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2</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A11D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91E0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4</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CED1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5</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D515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6</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0F1A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7</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3813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8</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228B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9</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61B6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79AF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11</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58E9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12</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7335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3CEB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14</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784B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15</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7099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16</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C7C8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17</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9CDE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18</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36E7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19</w:t>
            </w:r>
          </w:p>
        </w:tc>
        <w:tc>
          <w:tcPr>
            <w:tcW w:w="21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11E2F">
            <w:pPr>
              <w:jc w:val="center"/>
              <w:rPr>
                <w:rFonts w:hint="eastAsia" w:ascii="仿宋" w:hAnsi="仿宋" w:eastAsia="仿宋" w:cs="仿宋"/>
                <w:i w:val="0"/>
                <w:iCs w:val="0"/>
                <w:color w:val="000000"/>
                <w:sz w:val="14"/>
                <w:szCs w:val="14"/>
                <w:u w:val="none"/>
              </w:rPr>
            </w:pPr>
          </w:p>
        </w:tc>
      </w:tr>
      <w:tr w14:paraId="16E586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1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00A85">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w:t>
            </w: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6CB5A8">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经营活动净现金流量（1.1-1.2）</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E83D2">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D8127">
            <w:pPr>
              <w:jc w:val="center"/>
              <w:rPr>
                <w:rFonts w:hint="eastAsia" w:ascii="仿宋" w:hAnsi="仿宋" w:eastAsia="仿宋" w:cs="仿宋"/>
                <w:i w:val="0"/>
                <w:iCs w:val="0"/>
                <w:color w:val="000000"/>
                <w:sz w:val="14"/>
                <w:szCs w:val="14"/>
                <w:u w:val="none"/>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9F859">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FC09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4946.42</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E289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5057.67</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E1D0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5168.73</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B5CE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5488.13</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8342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5332.16</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40F6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4790.48</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FE7B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5012.24</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553D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5008.29</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85E9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5004.32</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1961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5238.29</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EBE7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5247.77</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D802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5243.45</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6988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5491.34</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923D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5486.67</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EE8A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5481.98</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DBCB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5579.75</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7E3A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5754.84</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8C1C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5677.64</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E1A7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5639.34</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5799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100649.51</w:t>
            </w:r>
          </w:p>
        </w:tc>
      </w:tr>
      <w:tr w14:paraId="527469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02" w:hRule="atLeast"/>
        </w:trPr>
        <w:tc>
          <w:tcPr>
            <w:tcW w:w="1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94C7A">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1.1</w:t>
            </w: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56F303">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现金流入</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5F263">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EAF51">
            <w:pPr>
              <w:jc w:val="center"/>
              <w:rPr>
                <w:rFonts w:hint="eastAsia" w:ascii="仿宋" w:hAnsi="仿宋" w:eastAsia="仿宋" w:cs="仿宋"/>
                <w:i w:val="0"/>
                <w:iCs w:val="0"/>
                <w:color w:val="000000"/>
                <w:sz w:val="14"/>
                <w:szCs w:val="14"/>
                <w:u w:val="none"/>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01F0F">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7C27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7480.26</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1666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7655.54</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699E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7830.81</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7BF2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8368.83</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D4C4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8381.44</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E246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8400.58</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87AC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8853.14</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412A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8853.14</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82EC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8853.14</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FBDE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9330.74</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FDAC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9350.63</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8212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9350.63</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CB76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9856.14</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4DE3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9856.14</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6590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9856.14</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79F7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10029.62</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7D34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10413.24</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DA08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10413.24</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7173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10574.84</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6EBF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173708.24</w:t>
            </w:r>
          </w:p>
        </w:tc>
      </w:tr>
      <w:tr w14:paraId="69E3BE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02" w:hRule="atLeast"/>
        </w:trPr>
        <w:tc>
          <w:tcPr>
            <w:tcW w:w="1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68EA6">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1.1.1</w:t>
            </w: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FD73E2">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营业收入</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950DF">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FA9D2">
            <w:pPr>
              <w:jc w:val="center"/>
              <w:rPr>
                <w:rFonts w:hint="eastAsia" w:ascii="仿宋" w:hAnsi="仿宋" w:eastAsia="仿宋" w:cs="仿宋"/>
                <w:i w:val="0"/>
                <w:iCs w:val="0"/>
                <w:color w:val="000000"/>
                <w:sz w:val="14"/>
                <w:szCs w:val="14"/>
                <w:u w:val="none"/>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6789D">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0598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7480.26</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42B1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7655.54</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6988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7830.81</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8E33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8368.83</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7AB9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8381.44</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E0C8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8400.58</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E939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8853.14</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CDB0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8853.14</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7E99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8853.14</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F170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9330.74</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978B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9350.63</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2659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9350.63</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01A9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9856.14</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1F56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9856.14</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0E7D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9856.14</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E6F1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10029.62</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A65B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10413.24</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7B60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10413.24</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1C1A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10574.84</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D16E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173708.24</w:t>
            </w:r>
          </w:p>
        </w:tc>
      </w:tr>
      <w:tr w14:paraId="6D5641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02" w:hRule="atLeast"/>
        </w:trPr>
        <w:tc>
          <w:tcPr>
            <w:tcW w:w="1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6BF9E">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1.1.2</w:t>
            </w: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64947A">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补贴收入</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AF16D">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0A15F">
            <w:pPr>
              <w:jc w:val="center"/>
              <w:rPr>
                <w:rFonts w:hint="eastAsia" w:ascii="仿宋" w:hAnsi="仿宋" w:eastAsia="仿宋" w:cs="仿宋"/>
                <w:i w:val="0"/>
                <w:iCs w:val="0"/>
                <w:color w:val="000000"/>
                <w:sz w:val="14"/>
                <w:szCs w:val="14"/>
                <w:u w:val="none"/>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6D3E1">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D1D78">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FDF24">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3F1A7">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74782">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B56A3">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1E5C4">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24B10">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A7732">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0B0EB">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7F756">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BAAB8">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2C6F8">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D394B">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2B64A">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0BC34">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6611B">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84F6D">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E4740">
            <w:pPr>
              <w:jc w:val="center"/>
              <w:rPr>
                <w:rFonts w:hint="eastAsia" w:ascii="仿宋" w:hAnsi="仿宋" w:eastAsia="仿宋" w:cs="仿宋"/>
                <w:i w:val="0"/>
                <w:iCs w:val="0"/>
                <w:color w:val="000000"/>
                <w:sz w:val="14"/>
                <w:szCs w:val="14"/>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CDEA7">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98CF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r>
      <w:tr w14:paraId="3C009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02" w:hRule="atLeast"/>
        </w:trPr>
        <w:tc>
          <w:tcPr>
            <w:tcW w:w="1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79755">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1.1.3</w:t>
            </w: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F5F532">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其他流入</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DC995">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08619">
            <w:pPr>
              <w:jc w:val="center"/>
              <w:rPr>
                <w:rFonts w:hint="eastAsia" w:ascii="仿宋" w:hAnsi="仿宋" w:eastAsia="仿宋" w:cs="仿宋"/>
                <w:i w:val="0"/>
                <w:iCs w:val="0"/>
                <w:color w:val="000000"/>
                <w:sz w:val="14"/>
                <w:szCs w:val="14"/>
                <w:u w:val="none"/>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75CE1">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0C5A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9D27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45C7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5249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8397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D23E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A201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1FF9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A301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787B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1B96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9EFA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9F15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388E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8177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4D9B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7CE9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0DF9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34F6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0094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r>
      <w:tr w14:paraId="1FE76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4E25E">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1.2</w:t>
            </w: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9BD77F">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现金流出</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C282C">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267E1">
            <w:pPr>
              <w:jc w:val="center"/>
              <w:rPr>
                <w:rFonts w:hint="eastAsia" w:ascii="仿宋" w:hAnsi="仿宋" w:eastAsia="仿宋" w:cs="仿宋"/>
                <w:i w:val="0"/>
                <w:iCs w:val="0"/>
                <w:color w:val="000000"/>
                <w:sz w:val="14"/>
                <w:szCs w:val="14"/>
                <w:u w:val="none"/>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08251">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4CE7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2533.84</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2738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2597.87</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F6CB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2662.08</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6759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2880.70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94D0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3049.28</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94CE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3610.10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40EC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3840.90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81FB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3844.85</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9FFE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3848.82</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B5A1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4092.45</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90FF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4102.86</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E073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4107.18</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DA53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4364.80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5D56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4369.47</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C828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4374.16</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F983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4449.87</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BFF5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4658.40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1B88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4735.60</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C9AF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4935.50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3D32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73058.73</w:t>
            </w:r>
          </w:p>
        </w:tc>
      </w:tr>
      <w:tr w14:paraId="1CD18E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1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E9A98">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1.2.1</w:t>
            </w: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FFE53F">
            <w:pPr>
              <w:keepNext w:val="0"/>
              <w:keepLines w:val="0"/>
              <w:widowControl/>
              <w:suppressLineNumbers w:val="0"/>
              <w:spacing w:line="240" w:lineRule="auto"/>
              <w:ind w:firstLine="0" w:firstLineChars="0"/>
              <w:jc w:val="both"/>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经营成本</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F3DD3">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B5B54">
            <w:pPr>
              <w:jc w:val="center"/>
              <w:rPr>
                <w:rFonts w:hint="eastAsia" w:ascii="仿宋" w:hAnsi="仿宋" w:eastAsia="仿宋" w:cs="仿宋"/>
                <w:i w:val="0"/>
                <w:iCs w:val="0"/>
                <w:color w:val="000000"/>
                <w:sz w:val="14"/>
                <w:szCs w:val="14"/>
                <w:u w:val="none"/>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A9168">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269C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1901.61</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5882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1914.69</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CB27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1928.01</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ED25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2022.69</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9287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2028.09</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D935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2033.86</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2CBB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2127.88</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0817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2133.15</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44F7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2138.45</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2479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2237.50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ED6B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2244.23</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A79A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2249.99</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04E1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2354.36</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6691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2360.58</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DA5E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2366.83</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EEC8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2381.99</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7E16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2484.60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4304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2491.54</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B344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2506.84</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15EE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41906.89</w:t>
            </w:r>
          </w:p>
        </w:tc>
      </w:tr>
      <w:tr w14:paraId="526A85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A1120">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1.2.2</w:t>
            </w: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CA98DD">
            <w:pPr>
              <w:keepNext w:val="0"/>
              <w:keepLines w:val="0"/>
              <w:widowControl/>
              <w:suppressLineNumbers w:val="0"/>
              <w:spacing w:line="240" w:lineRule="auto"/>
              <w:ind w:firstLine="0" w:firstLineChars="0"/>
              <w:jc w:val="both"/>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税金及附加</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8B1AD">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A3B10">
            <w:pPr>
              <w:jc w:val="center"/>
              <w:rPr>
                <w:rFonts w:hint="eastAsia" w:ascii="仿宋" w:hAnsi="仿宋" w:eastAsia="仿宋" w:cs="仿宋"/>
                <w:i w:val="0"/>
                <w:iCs w:val="0"/>
                <w:color w:val="000000"/>
                <w:sz w:val="14"/>
                <w:szCs w:val="14"/>
                <w:u w:val="none"/>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9D9A8">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18D3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97.10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C037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110.97</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5E5B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124.84</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9044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142.32</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FEE8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357.48</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9E97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1093.09</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81A7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1155.95</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AA41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1155.95</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54E9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1155.95</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252E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1222.53</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2B84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1223.05</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CD63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1223.05</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19FE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1293.68</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D36E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1293.68</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60A1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1293.68</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6396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1321.65</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D8FA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1369.20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EBF1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1369.20</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5F46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1398.56</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A377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18401.93</w:t>
            </w:r>
          </w:p>
        </w:tc>
      </w:tr>
      <w:tr w14:paraId="3EE645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8495E">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1.2.3</w:t>
            </w: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B1C571">
            <w:pPr>
              <w:keepNext w:val="0"/>
              <w:keepLines w:val="0"/>
              <w:widowControl/>
              <w:suppressLineNumbers w:val="0"/>
              <w:spacing w:line="240" w:lineRule="auto"/>
              <w:ind w:firstLine="0" w:firstLineChars="0"/>
              <w:jc w:val="both"/>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所得税</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FE155">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41113">
            <w:pPr>
              <w:jc w:val="center"/>
              <w:rPr>
                <w:rFonts w:hint="eastAsia" w:ascii="仿宋" w:hAnsi="仿宋" w:eastAsia="仿宋" w:cs="仿宋"/>
                <w:i w:val="0"/>
                <w:iCs w:val="0"/>
                <w:color w:val="000000"/>
                <w:sz w:val="14"/>
                <w:szCs w:val="14"/>
                <w:u w:val="none"/>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E3F0B">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8B12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535.13</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4B41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572.21</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39A0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609.23</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E425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715.69</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DC2C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663.71</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924A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483.15</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DE48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557.07</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E7D5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555.75</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1358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554.42</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ECF2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632.42</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1E98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635.58</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F79A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634.14</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F89B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716.76</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A836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715.21</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3174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713.65</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A6E2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746.23</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46EC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804.60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BCF2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874.86</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ED49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1030.10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72C6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12749.91</w:t>
            </w:r>
          </w:p>
        </w:tc>
      </w:tr>
      <w:tr w14:paraId="7165B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1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6A388">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2</w:t>
            </w: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9D8439">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投资活动净现金流量(2.1-2.2)</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26E3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-9630.20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1808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-19474.40</w:t>
            </w:r>
          </w:p>
        </w:tc>
        <w:tc>
          <w:tcPr>
            <w:tcW w:w="2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B7D5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-20015.40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E93D9">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EDC8E">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E6BEA">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E0FC7">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38FA1">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9828A">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8739D">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7738C">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C52E4">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27983">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633F1">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0CFD5">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18106">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076BA">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B37DD">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016BA">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BB06E">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5597F">
            <w:pPr>
              <w:jc w:val="center"/>
              <w:rPr>
                <w:rFonts w:hint="eastAsia" w:ascii="仿宋" w:hAnsi="仿宋" w:eastAsia="仿宋" w:cs="仿宋"/>
                <w:i w:val="0"/>
                <w:iCs w:val="0"/>
                <w:color w:val="000000"/>
                <w:sz w:val="14"/>
                <w:szCs w:val="14"/>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B063A">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BF81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-49120.00</w:t>
            </w:r>
          </w:p>
        </w:tc>
      </w:tr>
      <w:tr w14:paraId="7F18EC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2" w:hRule="atLeast"/>
        </w:trPr>
        <w:tc>
          <w:tcPr>
            <w:tcW w:w="1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5F79E">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2.1</w:t>
            </w: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16F956">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现金流入</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C7461">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605FF">
            <w:pPr>
              <w:jc w:val="center"/>
              <w:rPr>
                <w:rFonts w:hint="eastAsia" w:ascii="仿宋" w:hAnsi="仿宋" w:eastAsia="仿宋" w:cs="仿宋"/>
                <w:i w:val="0"/>
                <w:iCs w:val="0"/>
                <w:color w:val="000000"/>
                <w:sz w:val="14"/>
                <w:szCs w:val="14"/>
                <w:u w:val="none"/>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5193D">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E5C25">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D0E6F">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942F7">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9C31A">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DDE20">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F7040">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D7E2E">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86361">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F3443">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63CB7">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19A04">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1E766">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16195">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E2800">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5265A">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9364B">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74A35">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E8CCE">
            <w:pPr>
              <w:jc w:val="center"/>
              <w:rPr>
                <w:rFonts w:hint="eastAsia" w:ascii="仿宋" w:hAnsi="仿宋" w:eastAsia="仿宋" w:cs="仿宋"/>
                <w:i w:val="0"/>
                <w:iCs w:val="0"/>
                <w:color w:val="000000"/>
                <w:sz w:val="14"/>
                <w:szCs w:val="14"/>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F1A35">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791A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r>
      <w:tr w14:paraId="5D09F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02" w:hRule="atLeast"/>
        </w:trPr>
        <w:tc>
          <w:tcPr>
            <w:tcW w:w="1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5B2C3">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2.2</w:t>
            </w: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BD2A4E">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现金流出</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A807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9630.20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7FC2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19474.40</w:t>
            </w:r>
          </w:p>
        </w:tc>
        <w:tc>
          <w:tcPr>
            <w:tcW w:w="2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3467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20015.40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957A4">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C1A08">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A9473">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205A4">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7D65C">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BBBA6">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64933">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1200C">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83667">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9190B">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9C47F">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3E0A6">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3F0CD">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75B30">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B7D2B">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8E2E2">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3D992">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23F7E">
            <w:pPr>
              <w:jc w:val="center"/>
              <w:rPr>
                <w:rFonts w:hint="eastAsia" w:ascii="仿宋" w:hAnsi="仿宋" w:eastAsia="仿宋" w:cs="仿宋"/>
                <w:i w:val="0"/>
                <w:iCs w:val="0"/>
                <w:color w:val="000000"/>
                <w:sz w:val="14"/>
                <w:szCs w:val="14"/>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6BC96">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F4F0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49120.00</w:t>
            </w:r>
          </w:p>
        </w:tc>
      </w:tr>
      <w:tr w14:paraId="1C5BB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02" w:hRule="atLeast"/>
        </w:trPr>
        <w:tc>
          <w:tcPr>
            <w:tcW w:w="1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1FEC3">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2.2.1</w:t>
            </w: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4FE58A">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建设投资</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DEB0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9630.20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5B85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19474.40</w:t>
            </w:r>
          </w:p>
        </w:tc>
        <w:tc>
          <w:tcPr>
            <w:tcW w:w="2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BA3A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20015.40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F7802">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87DF4">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DCA73">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56F51">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1AFF0">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5146E">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1525C">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67B02">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0B730">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3C51D">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80349">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1D73B">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29441">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7CE8F">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468AA">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09E9D">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5080A">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C61D8">
            <w:pPr>
              <w:jc w:val="center"/>
              <w:rPr>
                <w:rFonts w:hint="eastAsia" w:ascii="仿宋" w:hAnsi="仿宋" w:eastAsia="仿宋" w:cs="仿宋"/>
                <w:i w:val="0"/>
                <w:iCs w:val="0"/>
                <w:color w:val="000000"/>
                <w:sz w:val="14"/>
                <w:szCs w:val="14"/>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0699E">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871A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49120.00</w:t>
            </w:r>
          </w:p>
        </w:tc>
      </w:tr>
      <w:tr w14:paraId="70DE0F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02" w:hRule="atLeast"/>
        </w:trPr>
        <w:tc>
          <w:tcPr>
            <w:tcW w:w="1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66A45">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2.2.2</w:t>
            </w: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6F5A5F">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维持运营投资</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822A5">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F2A3E">
            <w:pPr>
              <w:jc w:val="center"/>
              <w:rPr>
                <w:rFonts w:hint="eastAsia" w:ascii="仿宋" w:hAnsi="仿宋" w:eastAsia="仿宋" w:cs="仿宋"/>
                <w:i w:val="0"/>
                <w:iCs w:val="0"/>
                <w:color w:val="000000"/>
                <w:sz w:val="14"/>
                <w:szCs w:val="14"/>
                <w:u w:val="none"/>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CC1F7">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75405">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A03C6">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931E3">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7D4B6">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6A75C">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579A9">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2BDF9">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966A9">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E297A">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142F9">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BAF5F">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96E20">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14383">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C4818">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07DF1">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FBD3A">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49C5D">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11148">
            <w:pPr>
              <w:jc w:val="center"/>
              <w:rPr>
                <w:rFonts w:hint="eastAsia" w:ascii="仿宋" w:hAnsi="仿宋" w:eastAsia="仿宋" w:cs="仿宋"/>
                <w:i w:val="0"/>
                <w:iCs w:val="0"/>
                <w:color w:val="000000"/>
                <w:sz w:val="14"/>
                <w:szCs w:val="14"/>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F10E1">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8569D">
            <w:pPr>
              <w:jc w:val="center"/>
              <w:rPr>
                <w:rFonts w:hint="eastAsia" w:ascii="仿宋" w:hAnsi="仿宋" w:eastAsia="仿宋" w:cs="仿宋"/>
                <w:i w:val="0"/>
                <w:iCs w:val="0"/>
                <w:color w:val="000000"/>
                <w:sz w:val="14"/>
                <w:szCs w:val="14"/>
                <w:u w:val="none"/>
              </w:rPr>
            </w:pPr>
          </w:p>
        </w:tc>
      </w:tr>
      <w:tr w14:paraId="2D8A0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02" w:hRule="atLeast"/>
        </w:trPr>
        <w:tc>
          <w:tcPr>
            <w:tcW w:w="1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E173B">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2.2.3</w:t>
            </w: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13E024">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流动资金</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0974C">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1F296">
            <w:pPr>
              <w:jc w:val="center"/>
              <w:rPr>
                <w:rFonts w:hint="eastAsia" w:ascii="仿宋" w:hAnsi="仿宋" w:eastAsia="仿宋" w:cs="仿宋"/>
                <w:i w:val="0"/>
                <w:iCs w:val="0"/>
                <w:color w:val="000000"/>
                <w:sz w:val="14"/>
                <w:szCs w:val="14"/>
                <w:u w:val="none"/>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0024E">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032F2">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5BFDC">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A36CE">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04E68">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05FC4">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EEAA3">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C4202">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ED436">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8CC39">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5700F">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4D1BF">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7D721">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2F1C0">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C9703">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21296">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1D1E4">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D8B80">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0F8F2">
            <w:pPr>
              <w:jc w:val="center"/>
              <w:rPr>
                <w:rFonts w:hint="eastAsia" w:ascii="仿宋" w:hAnsi="仿宋" w:eastAsia="仿宋" w:cs="仿宋"/>
                <w:i w:val="0"/>
                <w:iCs w:val="0"/>
                <w:color w:val="000000"/>
                <w:sz w:val="14"/>
                <w:szCs w:val="14"/>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CEB84">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06F78">
            <w:pPr>
              <w:jc w:val="center"/>
              <w:rPr>
                <w:rFonts w:hint="eastAsia" w:ascii="仿宋" w:hAnsi="仿宋" w:eastAsia="仿宋" w:cs="仿宋"/>
                <w:i w:val="0"/>
                <w:iCs w:val="0"/>
                <w:color w:val="000000"/>
                <w:sz w:val="14"/>
                <w:szCs w:val="14"/>
                <w:u w:val="none"/>
              </w:rPr>
            </w:pPr>
          </w:p>
        </w:tc>
      </w:tr>
      <w:tr w14:paraId="17944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02" w:hRule="atLeast"/>
        </w:trPr>
        <w:tc>
          <w:tcPr>
            <w:tcW w:w="1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29D0C">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2.2.4</w:t>
            </w: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ED5300">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其他流出</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D22B6">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A00F6">
            <w:pPr>
              <w:jc w:val="center"/>
              <w:rPr>
                <w:rFonts w:hint="eastAsia" w:ascii="仿宋" w:hAnsi="仿宋" w:eastAsia="仿宋" w:cs="仿宋"/>
                <w:i w:val="0"/>
                <w:iCs w:val="0"/>
                <w:color w:val="000000"/>
                <w:sz w:val="14"/>
                <w:szCs w:val="14"/>
                <w:u w:val="none"/>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EBAEF">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B297D">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3EED5">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397B2">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D78F0">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270A6">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241F8">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59425">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FD906">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616B4">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78EC2">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0C55F">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2692A">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DED75">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1588D">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397C6">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19727">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D30CA">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B0F68">
            <w:pPr>
              <w:jc w:val="center"/>
              <w:rPr>
                <w:rFonts w:hint="eastAsia" w:ascii="仿宋" w:hAnsi="仿宋" w:eastAsia="仿宋" w:cs="仿宋"/>
                <w:i w:val="0"/>
                <w:iCs w:val="0"/>
                <w:color w:val="000000"/>
                <w:sz w:val="14"/>
                <w:szCs w:val="14"/>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DA0FC">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2E9D2">
            <w:pPr>
              <w:jc w:val="center"/>
              <w:rPr>
                <w:rFonts w:hint="eastAsia" w:ascii="仿宋" w:hAnsi="仿宋" w:eastAsia="仿宋" w:cs="仿宋"/>
                <w:i w:val="0"/>
                <w:iCs w:val="0"/>
                <w:color w:val="000000"/>
                <w:sz w:val="14"/>
                <w:szCs w:val="14"/>
                <w:u w:val="none"/>
              </w:rPr>
            </w:pPr>
          </w:p>
        </w:tc>
      </w:tr>
      <w:tr w14:paraId="477BF1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1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9FD00">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w:t>
            </w: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BB27EE">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筹资活动净现金流量(3.1-3.2)</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4D0B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9630.20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A0F5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19474.40</w:t>
            </w:r>
          </w:p>
        </w:tc>
        <w:tc>
          <w:tcPr>
            <w:tcW w:w="2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7B31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20015.40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6F10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3B21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4520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4F2A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5816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9F50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9B6F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8104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D679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AEC0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D67D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8B76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5C0A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4E2C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0E35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13E4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3481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-9332.00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B1DA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-15044.00</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76A1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-15540.00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6684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-12108.00</w:t>
            </w:r>
          </w:p>
        </w:tc>
      </w:tr>
      <w:tr w14:paraId="1A454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02" w:hRule="atLeast"/>
        </w:trPr>
        <w:tc>
          <w:tcPr>
            <w:tcW w:w="1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F41E1">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3.1</w:t>
            </w: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103EAB">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现金流入</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1D14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9630.20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80CE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19474.40</w:t>
            </w:r>
          </w:p>
        </w:tc>
        <w:tc>
          <w:tcPr>
            <w:tcW w:w="2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ADB0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20015.40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81756">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09107">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6EA79">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BA855">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81261">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BAAA2">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4FACE">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4B2A1">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37A42">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0BD6F">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6C3C9">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73999">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EC7EB">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C29E3">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78A9F">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42F03">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C1738">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A10BD">
            <w:pPr>
              <w:jc w:val="center"/>
              <w:rPr>
                <w:rFonts w:hint="eastAsia" w:ascii="仿宋" w:hAnsi="仿宋" w:eastAsia="仿宋" w:cs="仿宋"/>
                <w:i w:val="0"/>
                <w:iCs w:val="0"/>
                <w:color w:val="000000"/>
                <w:sz w:val="14"/>
                <w:szCs w:val="14"/>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AF4DF">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7265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49120.00</w:t>
            </w:r>
          </w:p>
        </w:tc>
      </w:tr>
      <w:tr w14:paraId="1A8409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5" w:hRule="atLeast"/>
        </w:trPr>
        <w:tc>
          <w:tcPr>
            <w:tcW w:w="1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6F706">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3.1.1</w:t>
            </w: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EC3CD2">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项目资本金投入</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279C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1630.20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42CC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5474.40</w:t>
            </w:r>
          </w:p>
        </w:tc>
        <w:tc>
          <w:tcPr>
            <w:tcW w:w="2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6B3B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5015.40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0B834">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BCB23">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26676">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161DD">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099EF">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208EF">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722BE">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2DC1D">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B5A0D">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7432E">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6E4FD">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B091F">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6683E">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85E71">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98F2F">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3F175">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E3909">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49914">
            <w:pPr>
              <w:jc w:val="center"/>
              <w:rPr>
                <w:rFonts w:hint="eastAsia" w:ascii="仿宋" w:hAnsi="仿宋" w:eastAsia="仿宋" w:cs="仿宋"/>
                <w:i w:val="0"/>
                <w:iCs w:val="0"/>
                <w:color w:val="000000"/>
                <w:sz w:val="14"/>
                <w:szCs w:val="14"/>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76C2A">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9198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12120.00</w:t>
            </w:r>
          </w:p>
        </w:tc>
      </w:tr>
      <w:tr w14:paraId="472A9C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2" w:hRule="atLeast"/>
        </w:trPr>
        <w:tc>
          <w:tcPr>
            <w:tcW w:w="1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DA997">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3.1.2</w:t>
            </w: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C25FFB">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建设投资借款</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5F9FC">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29F52">
            <w:pPr>
              <w:jc w:val="center"/>
              <w:rPr>
                <w:rFonts w:hint="eastAsia" w:ascii="仿宋" w:hAnsi="仿宋" w:eastAsia="仿宋" w:cs="仿宋"/>
                <w:i w:val="0"/>
                <w:iCs w:val="0"/>
                <w:color w:val="000000"/>
                <w:sz w:val="14"/>
                <w:szCs w:val="14"/>
                <w:u w:val="none"/>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2D7A5">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194F6">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855F2">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CC855">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94FAD">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85404">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D50ED">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49297">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A9B65">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6E9CE">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E5172">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C0E6E">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05FB6">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40B75">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AB64F">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78EEA">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498E6">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1AE2B">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E7921">
            <w:pPr>
              <w:jc w:val="center"/>
              <w:rPr>
                <w:rFonts w:hint="eastAsia" w:ascii="仿宋" w:hAnsi="仿宋" w:eastAsia="仿宋" w:cs="仿宋"/>
                <w:i w:val="0"/>
                <w:iCs w:val="0"/>
                <w:color w:val="000000"/>
                <w:sz w:val="14"/>
                <w:szCs w:val="14"/>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A22F3">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82C7F">
            <w:pPr>
              <w:jc w:val="center"/>
              <w:rPr>
                <w:rFonts w:hint="eastAsia" w:ascii="仿宋" w:hAnsi="仿宋" w:eastAsia="仿宋" w:cs="仿宋"/>
                <w:i w:val="0"/>
                <w:iCs w:val="0"/>
                <w:color w:val="000000"/>
                <w:sz w:val="14"/>
                <w:szCs w:val="14"/>
                <w:u w:val="none"/>
              </w:rPr>
            </w:pPr>
          </w:p>
        </w:tc>
      </w:tr>
      <w:tr w14:paraId="411D36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2" w:hRule="atLeast"/>
        </w:trPr>
        <w:tc>
          <w:tcPr>
            <w:tcW w:w="1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2D03F">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3.1.3</w:t>
            </w: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A9DA6A">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流动资金借款</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F00C9">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248F6">
            <w:pPr>
              <w:jc w:val="center"/>
              <w:rPr>
                <w:rFonts w:hint="eastAsia" w:ascii="仿宋" w:hAnsi="仿宋" w:eastAsia="仿宋" w:cs="仿宋"/>
                <w:i w:val="0"/>
                <w:iCs w:val="0"/>
                <w:color w:val="000000"/>
                <w:sz w:val="14"/>
                <w:szCs w:val="14"/>
                <w:u w:val="none"/>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B58B0">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0B86A">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99752">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9DDD0">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988A4">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0B7CF">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E07EE">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23733">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D369D">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C4D7F">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00A93">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E58BB">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DBC92">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D9F2C">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F13D5">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50E1B">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845F4">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CE06B">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E95E9">
            <w:pPr>
              <w:jc w:val="center"/>
              <w:rPr>
                <w:rFonts w:hint="eastAsia" w:ascii="仿宋" w:hAnsi="仿宋" w:eastAsia="仿宋" w:cs="仿宋"/>
                <w:i w:val="0"/>
                <w:iCs w:val="0"/>
                <w:color w:val="000000"/>
                <w:sz w:val="14"/>
                <w:szCs w:val="14"/>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D143A">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A703E">
            <w:pPr>
              <w:jc w:val="center"/>
              <w:rPr>
                <w:rFonts w:hint="eastAsia" w:ascii="仿宋" w:hAnsi="仿宋" w:eastAsia="仿宋" w:cs="仿宋"/>
                <w:i w:val="0"/>
                <w:iCs w:val="0"/>
                <w:color w:val="000000"/>
                <w:sz w:val="14"/>
                <w:szCs w:val="14"/>
                <w:u w:val="none"/>
              </w:rPr>
            </w:pPr>
          </w:p>
        </w:tc>
      </w:tr>
      <w:tr w14:paraId="27F8E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02" w:hRule="atLeast"/>
        </w:trPr>
        <w:tc>
          <w:tcPr>
            <w:tcW w:w="1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97A55">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3.1.4</w:t>
            </w: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079BC4">
            <w:pPr>
              <w:keepNext w:val="0"/>
              <w:keepLines w:val="0"/>
              <w:widowControl/>
              <w:suppressLineNumbers w:val="0"/>
              <w:spacing w:line="240" w:lineRule="auto"/>
              <w:ind w:firstLine="0" w:firstLineChars="0"/>
              <w:jc w:val="left"/>
              <w:textAlignment w:val="center"/>
              <w:rPr>
                <w:rFonts w:hint="eastAsia" w:ascii="仿宋" w:hAnsi="仿宋" w:eastAsia="仿宋" w:cs="仿宋"/>
                <w:b/>
                <w:bCs/>
                <w:i w:val="0"/>
                <w:iCs w:val="0"/>
                <w:color w:val="000000"/>
                <w:sz w:val="14"/>
                <w:szCs w:val="14"/>
                <w:u w:val="none"/>
              </w:rPr>
            </w:pPr>
            <w:r>
              <w:rPr>
                <w:rFonts w:hint="eastAsia" w:ascii="仿宋" w:hAnsi="仿宋" w:eastAsia="仿宋" w:cs="仿宋"/>
                <w:b/>
                <w:bCs/>
                <w:i w:val="0"/>
                <w:iCs w:val="0"/>
                <w:color w:val="000000"/>
                <w:kern w:val="0"/>
                <w:sz w:val="14"/>
                <w:szCs w:val="14"/>
                <w:u w:val="none"/>
                <w:lang w:val="en-US" w:eastAsia="zh-CN" w:bidi="ar"/>
              </w:rPr>
              <w:t>债券资金流入</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7C0A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8000.00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F897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14000.00</w:t>
            </w:r>
          </w:p>
        </w:tc>
        <w:tc>
          <w:tcPr>
            <w:tcW w:w="2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4A7B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15000.00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ED7C0">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FB577">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A19CC">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9C6A9">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E9A7C">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47ED3">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7A35A">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71E51">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2F59F">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FE65A">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AD0F1">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580D1">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70B38">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2D391">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BDE40">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F6E7F">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08334">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BD541">
            <w:pPr>
              <w:jc w:val="center"/>
              <w:rPr>
                <w:rFonts w:hint="eastAsia" w:ascii="仿宋" w:hAnsi="仿宋" w:eastAsia="仿宋" w:cs="仿宋"/>
                <w:i w:val="0"/>
                <w:iCs w:val="0"/>
                <w:color w:val="000000"/>
                <w:sz w:val="14"/>
                <w:szCs w:val="14"/>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0E8A0">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77B0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37000.00</w:t>
            </w:r>
          </w:p>
        </w:tc>
      </w:tr>
      <w:tr w14:paraId="3B19A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5" w:hRule="atLeast"/>
        </w:trPr>
        <w:tc>
          <w:tcPr>
            <w:tcW w:w="1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4B126">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3.1.5</w:t>
            </w: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F69AF7">
            <w:pPr>
              <w:keepNext w:val="0"/>
              <w:keepLines w:val="0"/>
              <w:widowControl/>
              <w:suppressLineNumbers w:val="0"/>
              <w:spacing w:line="240" w:lineRule="auto"/>
              <w:ind w:firstLine="0" w:firstLineChars="0"/>
              <w:jc w:val="left"/>
              <w:textAlignment w:val="center"/>
              <w:rPr>
                <w:rFonts w:hint="eastAsia" w:ascii="仿宋" w:hAnsi="仿宋" w:eastAsia="仿宋" w:cs="仿宋"/>
                <w:b/>
                <w:bCs/>
                <w:i w:val="0"/>
                <w:iCs w:val="0"/>
                <w:color w:val="000000"/>
                <w:sz w:val="14"/>
                <w:szCs w:val="14"/>
                <w:u w:val="none"/>
              </w:rPr>
            </w:pPr>
            <w:r>
              <w:rPr>
                <w:rFonts w:hint="eastAsia" w:ascii="仿宋" w:hAnsi="仿宋" w:eastAsia="仿宋" w:cs="仿宋"/>
                <w:b/>
                <w:bCs/>
                <w:i w:val="0"/>
                <w:iCs w:val="0"/>
                <w:color w:val="000000"/>
                <w:kern w:val="0"/>
                <w:sz w:val="14"/>
                <w:szCs w:val="14"/>
                <w:u w:val="none"/>
                <w:lang w:val="en-US" w:eastAsia="zh-CN" w:bidi="ar"/>
              </w:rPr>
              <w:t>市场化融资流入</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44D6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C429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2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9F0C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28963">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CAA26">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2A32B">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5C6C8">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412AF">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593B3">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CEED2">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929C1">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C2982">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C0FF5">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88CAF">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E1830">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4377E">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96315">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F4290">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29E36">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B03C4">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1625B">
            <w:pPr>
              <w:jc w:val="center"/>
              <w:rPr>
                <w:rFonts w:hint="eastAsia" w:ascii="仿宋" w:hAnsi="仿宋" w:eastAsia="仿宋" w:cs="仿宋"/>
                <w:i w:val="0"/>
                <w:iCs w:val="0"/>
                <w:color w:val="000000"/>
                <w:sz w:val="14"/>
                <w:szCs w:val="14"/>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0F66E">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3F68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r>
      <w:tr w14:paraId="04931F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02" w:hRule="atLeast"/>
        </w:trPr>
        <w:tc>
          <w:tcPr>
            <w:tcW w:w="1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A4BE2">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3.1.6</w:t>
            </w: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878EBD">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其他流入</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DDAFE">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4A005">
            <w:pPr>
              <w:jc w:val="center"/>
              <w:rPr>
                <w:rFonts w:hint="eastAsia" w:ascii="仿宋" w:hAnsi="仿宋" w:eastAsia="仿宋" w:cs="仿宋"/>
                <w:i w:val="0"/>
                <w:iCs w:val="0"/>
                <w:color w:val="000000"/>
                <w:sz w:val="14"/>
                <w:szCs w:val="14"/>
                <w:u w:val="none"/>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A3576">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D7D79">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15BAD">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EBEF0">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F99F2">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1DAE2">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E3780">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3CC51">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96AD0">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F3F80">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0C911">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43E93">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AFEA4">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847F7">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C7CFB">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807C7">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95E2F">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7A4B1">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7392D">
            <w:pPr>
              <w:jc w:val="center"/>
              <w:rPr>
                <w:rFonts w:hint="eastAsia" w:ascii="仿宋" w:hAnsi="仿宋" w:eastAsia="仿宋" w:cs="仿宋"/>
                <w:i w:val="0"/>
                <w:iCs w:val="0"/>
                <w:color w:val="000000"/>
                <w:sz w:val="14"/>
                <w:szCs w:val="14"/>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87B1B">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FA4F5">
            <w:pPr>
              <w:jc w:val="center"/>
              <w:rPr>
                <w:rFonts w:hint="eastAsia" w:ascii="仿宋" w:hAnsi="仿宋" w:eastAsia="仿宋" w:cs="仿宋"/>
                <w:i w:val="0"/>
                <w:iCs w:val="0"/>
                <w:color w:val="000000"/>
                <w:sz w:val="14"/>
                <w:szCs w:val="14"/>
                <w:u w:val="none"/>
              </w:rPr>
            </w:pPr>
          </w:p>
        </w:tc>
      </w:tr>
      <w:tr w14:paraId="44EF1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02" w:hRule="atLeast"/>
        </w:trPr>
        <w:tc>
          <w:tcPr>
            <w:tcW w:w="1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31D7C">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3.2</w:t>
            </w: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48D62A">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现金流出</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56BA9">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9FB99">
            <w:pPr>
              <w:jc w:val="center"/>
              <w:rPr>
                <w:rFonts w:hint="eastAsia" w:ascii="仿宋" w:hAnsi="仿宋" w:eastAsia="仿宋" w:cs="仿宋"/>
                <w:i w:val="0"/>
                <w:iCs w:val="0"/>
                <w:color w:val="000000"/>
                <w:sz w:val="14"/>
                <w:szCs w:val="14"/>
                <w:u w:val="none"/>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F9774">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9118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A8BB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A8D2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6AFA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C879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234B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A681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E056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3D58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8B0E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381C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8761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D107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6CE5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62AE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CD2C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AC2D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9332.00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968C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15044.00</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EC6F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15540.00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7A0E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61228.00</w:t>
            </w:r>
          </w:p>
        </w:tc>
      </w:tr>
      <w:tr w14:paraId="68A35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2" w:hRule="atLeast"/>
        </w:trPr>
        <w:tc>
          <w:tcPr>
            <w:tcW w:w="1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69737">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3.2.1</w:t>
            </w: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2A73A7">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各种利息支出</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47375">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F0DEE">
            <w:pPr>
              <w:jc w:val="center"/>
              <w:rPr>
                <w:rFonts w:hint="eastAsia" w:ascii="仿宋" w:hAnsi="仿宋" w:eastAsia="仿宋" w:cs="仿宋"/>
                <w:i w:val="0"/>
                <w:iCs w:val="0"/>
                <w:color w:val="000000"/>
                <w:sz w:val="14"/>
                <w:szCs w:val="14"/>
                <w:u w:val="none"/>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58D06">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EDBD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96AA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BA3C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DDBD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B779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3A782">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281E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3A7B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3AE5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E628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1384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519E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3FEA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F037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E808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B234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106A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1332.00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D035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1044.00</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CC63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540.00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F036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24228.00</w:t>
            </w:r>
          </w:p>
        </w:tc>
      </w:tr>
      <w:tr w14:paraId="0D911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5" w:hRule="atLeast"/>
        </w:trPr>
        <w:tc>
          <w:tcPr>
            <w:tcW w:w="1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BEAFC">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3.2.2</w:t>
            </w: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5EB4BB">
            <w:pPr>
              <w:keepNext w:val="0"/>
              <w:keepLines w:val="0"/>
              <w:widowControl/>
              <w:suppressLineNumbers w:val="0"/>
              <w:spacing w:line="240" w:lineRule="auto"/>
              <w:ind w:firstLine="0" w:firstLineChars="0"/>
              <w:jc w:val="left"/>
              <w:textAlignment w:val="center"/>
              <w:rPr>
                <w:rFonts w:hint="eastAsia" w:ascii="仿宋" w:hAnsi="仿宋" w:eastAsia="仿宋" w:cs="仿宋"/>
                <w:b/>
                <w:bCs/>
                <w:i w:val="0"/>
                <w:iCs w:val="0"/>
                <w:color w:val="000000"/>
                <w:sz w:val="14"/>
                <w:szCs w:val="14"/>
                <w:u w:val="none"/>
              </w:rPr>
            </w:pPr>
            <w:r>
              <w:rPr>
                <w:rFonts w:hint="eastAsia" w:ascii="仿宋" w:hAnsi="仿宋" w:eastAsia="仿宋" w:cs="仿宋"/>
                <w:b/>
                <w:bCs/>
                <w:i w:val="0"/>
                <w:iCs w:val="0"/>
                <w:color w:val="000000"/>
                <w:kern w:val="0"/>
                <w:sz w:val="14"/>
                <w:szCs w:val="14"/>
                <w:u w:val="none"/>
                <w:lang w:val="en-US" w:eastAsia="zh-CN" w:bidi="ar"/>
              </w:rPr>
              <w:t>偿还债券本金流出</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E6718">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8D64A">
            <w:pPr>
              <w:jc w:val="center"/>
              <w:rPr>
                <w:rFonts w:hint="eastAsia" w:ascii="仿宋" w:hAnsi="仿宋" w:eastAsia="仿宋" w:cs="仿宋"/>
                <w:i w:val="0"/>
                <w:iCs w:val="0"/>
                <w:color w:val="000000"/>
                <w:sz w:val="14"/>
                <w:szCs w:val="14"/>
                <w:u w:val="none"/>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EADFE">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08C58">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7A3E8">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9EAB5">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52820">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6FA98">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3138C">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EBCDF">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FED7D">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A5D11">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2E5D0">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7FC99">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37AD7">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4809F">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C06DB">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E6B9A">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23C25">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D43F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8000.00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B59A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14000.00</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F943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15000.00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CF16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37000.00</w:t>
            </w:r>
          </w:p>
        </w:tc>
      </w:tr>
      <w:tr w14:paraId="5DB63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5" w:hRule="atLeast"/>
        </w:trPr>
        <w:tc>
          <w:tcPr>
            <w:tcW w:w="1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95CC8">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3.2.3</w:t>
            </w: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1F8033">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偿还市场化融资本金流出</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9F97B">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D6964">
            <w:pPr>
              <w:jc w:val="center"/>
              <w:rPr>
                <w:rFonts w:hint="eastAsia" w:ascii="仿宋" w:hAnsi="仿宋" w:eastAsia="仿宋" w:cs="仿宋"/>
                <w:i w:val="0"/>
                <w:iCs w:val="0"/>
                <w:color w:val="000000"/>
                <w:sz w:val="14"/>
                <w:szCs w:val="14"/>
                <w:u w:val="none"/>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80F59">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149B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D9BC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B6F7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A529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C57B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59E0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1424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60C8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0D39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6068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1D47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C907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0B12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D810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86AD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0325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627CA">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2E15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F3386">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F118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r>
      <w:tr w14:paraId="526E3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02" w:hRule="atLeast"/>
        </w:trPr>
        <w:tc>
          <w:tcPr>
            <w:tcW w:w="1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C8D98">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3.2.4</w:t>
            </w: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4A86B8">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其他流出</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C6208">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D874D">
            <w:pPr>
              <w:jc w:val="center"/>
              <w:rPr>
                <w:rFonts w:hint="eastAsia" w:ascii="仿宋" w:hAnsi="仿宋" w:eastAsia="仿宋" w:cs="仿宋"/>
                <w:i w:val="0"/>
                <w:iCs w:val="0"/>
                <w:color w:val="000000"/>
                <w:sz w:val="14"/>
                <w:szCs w:val="14"/>
                <w:u w:val="none"/>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14879">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E8990">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87123">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AA5B0">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4BCAF">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68E67">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A96E4">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385E3">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4E7E1">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A75B1">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B43B6">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46D1E">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A5CC6">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3C0AB">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1E74D">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EC4A5">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3EFD8">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B91CB">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559F9">
            <w:pPr>
              <w:jc w:val="center"/>
              <w:rPr>
                <w:rFonts w:hint="eastAsia" w:ascii="仿宋" w:hAnsi="仿宋" w:eastAsia="仿宋" w:cs="仿宋"/>
                <w:i w:val="0"/>
                <w:iCs w:val="0"/>
                <w:color w:val="000000"/>
                <w:sz w:val="14"/>
                <w:szCs w:val="14"/>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2814D">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44A8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0.00</w:t>
            </w:r>
          </w:p>
        </w:tc>
      </w:tr>
      <w:tr w14:paraId="132F8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5" w:hRule="atLeast"/>
        </w:trPr>
        <w:tc>
          <w:tcPr>
            <w:tcW w:w="1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486E1">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4</w:t>
            </w: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BB01B3">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净现金流量（1+2+3）</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0D493">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92C95">
            <w:pPr>
              <w:jc w:val="center"/>
              <w:rPr>
                <w:rFonts w:hint="eastAsia" w:ascii="仿宋" w:hAnsi="仿宋" w:eastAsia="仿宋" w:cs="仿宋"/>
                <w:i w:val="0"/>
                <w:iCs w:val="0"/>
                <w:color w:val="000000"/>
                <w:sz w:val="14"/>
                <w:szCs w:val="14"/>
                <w:u w:val="none"/>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06AB3">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F52B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3614.42</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02E2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3725.67</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8CF4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3836.73</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682D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4156.13</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9ADF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4000.16</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AA63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3458.48</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054E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3680.24</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44F2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3676.29</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55698">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3672.32</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6759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3906.29</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CF49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3915.77</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8602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3911.45</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3C19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4159.34</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0778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4154.67</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4800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4149.98</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C31C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4247.75</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8BF7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-3577.16</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A759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-9366.36</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AE5F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-9900.66</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F081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39421.51</w:t>
            </w:r>
          </w:p>
        </w:tc>
      </w:tr>
      <w:tr w14:paraId="0EFD0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02" w:hRule="atLeast"/>
        </w:trPr>
        <w:tc>
          <w:tcPr>
            <w:tcW w:w="1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6885B">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5</w:t>
            </w: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148375">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累计盈余资金</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8AD08">
            <w:pPr>
              <w:jc w:val="center"/>
              <w:rPr>
                <w:rFonts w:hint="eastAsia" w:ascii="仿宋" w:hAnsi="仿宋" w:eastAsia="仿宋" w:cs="仿宋"/>
                <w:i w:val="0"/>
                <w:iCs w:val="0"/>
                <w:color w:val="000000"/>
                <w:sz w:val="14"/>
                <w:szCs w:val="14"/>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EEDE1">
            <w:pPr>
              <w:jc w:val="center"/>
              <w:rPr>
                <w:rFonts w:hint="eastAsia" w:ascii="仿宋" w:hAnsi="仿宋" w:eastAsia="仿宋" w:cs="仿宋"/>
                <w:i w:val="0"/>
                <w:iCs w:val="0"/>
                <w:color w:val="000000"/>
                <w:sz w:val="14"/>
                <w:szCs w:val="14"/>
                <w:u w:val="none"/>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73835">
            <w:pPr>
              <w:jc w:val="center"/>
              <w:rPr>
                <w:rFonts w:hint="eastAsia" w:ascii="仿宋" w:hAnsi="仿宋" w:eastAsia="仿宋" w:cs="仿宋"/>
                <w:i w:val="0"/>
                <w:iCs w:val="0"/>
                <w:color w:val="000000"/>
                <w:sz w:val="14"/>
                <w:szCs w:val="14"/>
                <w:u w:val="none"/>
              </w:rPr>
            </w:pP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62CB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3614.42</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0F44E">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7340.09</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A249F">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11176.82</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BC73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15332.95</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DEBA7">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19333.11</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2E491">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22791.59</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9074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26471.83</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8B52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30148.12</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7BA4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33820.44</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C1D15">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37726.73</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AC29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41642.50</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7673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45553.95</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1469D">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49713.29</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C86AB">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53867.96</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BC9DC">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58017.94</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3C9A0">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62265.69</w:t>
            </w:r>
          </w:p>
        </w:tc>
        <w:tc>
          <w:tcPr>
            <w:tcW w:w="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E2FA9">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58688.53</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729E3">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49322.17</w:t>
            </w: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7CEF4">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sz w:val="14"/>
                <w:szCs w:val="14"/>
                <w:u w:val="none"/>
              </w:rPr>
            </w:pPr>
            <w:r>
              <w:rPr>
                <w:rFonts w:hint="eastAsia" w:ascii="仿宋" w:hAnsi="仿宋" w:eastAsia="仿宋" w:cs="仿宋"/>
                <w:i w:val="0"/>
                <w:iCs w:val="0"/>
                <w:color w:val="000000"/>
                <w:kern w:val="0"/>
                <w:sz w:val="14"/>
                <w:szCs w:val="14"/>
                <w:u w:val="none"/>
                <w:lang w:val="en-US" w:eastAsia="zh-CN" w:bidi="ar"/>
              </w:rPr>
              <w:t>39421.51</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835E2">
            <w:pPr>
              <w:jc w:val="center"/>
              <w:rPr>
                <w:rFonts w:hint="eastAsia" w:ascii="仿宋" w:hAnsi="仿宋" w:eastAsia="仿宋" w:cs="仿宋"/>
                <w:i w:val="0"/>
                <w:iCs w:val="0"/>
                <w:color w:val="000000"/>
                <w:sz w:val="14"/>
                <w:szCs w:val="14"/>
                <w:u w:val="none"/>
              </w:rPr>
            </w:pPr>
          </w:p>
        </w:tc>
      </w:tr>
    </w:tbl>
    <w:p w14:paraId="4A9E0DBA">
      <w:pPr>
        <w:pStyle w:val="30"/>
        <w:rPr>
          <w:rFonts w:hint="eastAsia"/>
          <w:color w:val="auto"/>
        </w:rPr>
      </w:pPr>
    </w:p>
    <w:p w14:paraId="0B99F749">
      <w:pPr>
        <w:pStyle w:val="19"/>
        <w:ind w:firstLine="440"/>
        <w:rPr>
          <w:color w:val="auto"/>
        </w:rPr>
        <w:sectPr>
          <w:pgSz w:w="16838" w:h="11906" w:orient="landscape"/>
          <w:pgMar w:top="720" w:right="720" w:bottom="720" w:left="720" w:header="709" w:footer="567" w:gutter="0"/>
          <w:cols w:space="425" w:num="1"/>
          <w:docGrid w:type="lines" w:linePitch="326" w:charSpace="0"/>
        </w:sectPr>
      </w:pPr>
    </w:p>
    <w:p w14:paraId="5965A9FE">
      <w:pPr>
        <w:spacing w:line="560" w:lineRule="exact"/>
        <w:ind w:firstLine="640"/>
        <w:rPr>
          <w:rFonts w:ascii="黑体" w:hAnsi="黑体" w:eastAsia="黑体"/>
          <w:color w:val="auto"/>
          <w:sz w:val="32"/>
          <w:szCs w:val="32"/>
        </w:rPr>
      </w:pPr>
      <w:r>
        <w:rPr>
          <w:rFonts w:hint="eastAsia" w:ascii="黑体" w:hAnsi="黑体" w:eastAsia="黑体"/>
          <w:color w:val="auto"/>
          <w:sz w:val="32"/>
          <w:szCs w:val="32"/>
        </w:rPr>
        <w:t>五、项目绩效目标</w:t>
      </w:r>
    </w:p>
    <w:p w14:paraId="18520851">
      <w:pPr>
        <w:spacing w:before="157" w:beforeLines="50" w:after="157" w:afterLines="50" w:line="360" w:lineRule="auto"/>
        <w:ind w:firstLine="643"/>
        <w:outlineLvl w:val="1"/>
        <w:rPr>
          <w:rFonts w:hint="default" w:ascii="楷体_GB2312" w:hAnsi="Calibri" w:eastAsia="楷体_GB2312"/>
          <w:b/>
          <w:color w:val="auto"/>
          <w:sz w:val="32"/>
          <w:szCs w:val="32"/>
          <w:lang w:val="en-US" w:eastAsia="zh-Hans"/>
        </w:rPr>
      </w:pPr>
      <w:r>
        <w:rPr>
          <w:rFonts w:hint="eastAsia" w:ascii="楷体_GB2312" w:hAnsi="Calibri" w:eastAsia="楷体_GB2312"/>
          <w:b/>
          <w:color w:val="auto"/>
          <w:sz w:val="32"/>
          <w:szCs w:val="32"/>
        </w:rPr>
        <w:t>（一）</w:t>
      </w:r>
      <w:r>
        <w:rPr>
          <w:rFonts w:hint="eastAsia" w:ascii="楷体_GB2312" w:hAnsi="Calibri" w:eastAsia="楷体_GB2312"/>
          <w:b/>
          <w:color w:val="auto"/>
          <w:sz w:val="32"/>
          <w:szCs w:val="32"/>
          <w:lang w:val="en-US" w:eastAsia="zh-Hans"/>
        </w:rPr>
        <w:t>产出目标</w:t>
      </w:r>
    </w:p>
    <w:p w14:paraId="406F0C32">
      <w:pPr>
        <w:pageBreakBefore w:val="0"/>
        <w:kinsoku/>
        <w:wordWrap/>
        <w:overflowPunct/>
        <w:topLinePunct w:val="0"/>
        <w:autoSpaceDE/>
        <w:autoSpaceDN/>
        <w:bidi w:val="0"/>
        <w:adjustRightInd w:val="0"/>
        <w:snapToGrid w:val="0"/>
        <w:spacing w:line="360" w:lineRule="auto"/>
        <w:ind w:firstLine="480" w:firstLineChars="200"/>
        <w:rPr>
          <w:rFonts w:hint="eastAsia"/>
          <w:bCs/>
          <w:color w:val="auto"/>
          <w:lang w:val="en-US" w:eastAsia="zh-CN"/>
        </w:rPr>
      </w:pPr>
      <w:r>
        <w:rPr>
          <w:rFonts w:hint="eastAsia"/>
          <w:bCs/>
          <w:color w:val="auto"/>
          <w:lang w:val="en-US" w:eastAsia="zh-CN"/>
        </w:rPr>
        <w:t>数量目标：完成</w:t>
      </w:r>
      <w:r>
        <w:rPr>
          <w:rFonts w:hint="eastAsia"/>
          <w:bCs/>
          <w:color w:val="auto"/>
          <w:lang w:val="en-US" w:eastAsia="zh-Hans"/>
        </w:rPr>
        <w:t>定制厂房地上建筑面积约55500平方米，地下建筑面积（含停车场）13875平方米，新建及改造配套道路2.5km</w:t>
      </w:r>
      <w:r>
        <w:rPr>
          <w:rFonts w:hint="eastAsia"/>
          <w:bCs/>
          <w:color w:val="auto"/>
          <w:lang w:val="en-US" w:eastAsia="zh-CN"/>
        </w:rPr>
        <w:t>的修建。</w:t>
      </w:r>
    </w:p>
    <w:p w14:paraId="3AEFA685">
      <w:pPr>
        <w:pageBreakBefore w:val="0"/>
        <w:kinsoku/>
        <w:wordWrap/>
        <w:overflowPunct/>
        <w:topLinePunct w:val="0"/>
        <w:autoSpaceDE/>
        <w:autoSpaceDN/>
        <w:bidi w:val="0"/>
        <w:adjustRightInd w:val="0"/>
        <w:snapToGrid w:val="0"/>
        <w:spacing w:line="360" w:lineRule="auto"/>
        <w:ind w:firstLine="480" w:firstLineChars="200"/>
        <w:rPr>
          <w:rFonts w:hint="default"/>
          <w:bCs/>
          <w:color w:val="auto"/>
          <w:lang w:val="en-US" w:eastAsia="zh-CN"/>
        </w:rPr>
      </w:pPr>
      <w:r>
        <w:rPr>
          <w:rFonts w:hint="eastAsia"/>
          <w:bCs/>
          <w:color w:val="auto"/>
          <w:lang w:val="en-US" w:eastAsia="zh-CN"/>
        </w:rPr>
        <w:t>质量目标：符合验收标准，达到行业基准水平。</w:t>
      </w:r>
    </w:p>
    <w:p w14:paraId="208A1972">
      <w:pPr>
        <w:pageBreakBefore w:val="0"/>
        <w:kinsoku/>
        <w:wordWrap/>
        <w:overflowPunct/>
        <w:topLinePunct w:val="0"/>
        <w:autoSpaceDE/>
        <w:autoSpaceDN/>
        <w:bidi w:val="0"/>
        <w:adjustRightInd w:val="0"/>
        <w:snapToGrid w:val="0"/>
        <w:spacing w:line="360" w:lineRule="auto"/>
        <w:ind w:firstLine="480" w:firstLineChars="200"/>
        <w:rPr>
          <w:rFonts w:hint="default"/>
          <w:bCs/>
          <w:color w:val="auto"/>
          <w:lang w:val="en-US" w:eastAsia="zh-CN"/>
        </w:rPr>
      </w:pPr>
      <w:r>
        <w:rPr>
          <w:rFonts w:hint="eastAsia"/>
          <w:bCs/>
          <w:color w:val="auto"/>
          <w:lang w:val="en-US" w:eastAsia="zh-CN"/>
        </w:rPr>
        <w:t>时效目标：本项目建设期跨度3年，严格执行工程建设程序，合理有序的安排项目建设进度。</w:t>
      </w:r>
    </w:p>
    <w:p w14:paraId="13218F20">
      <w:pPr>
        <w:pageBreakBefore w:val="0"/>
        <w:kinsoku/>
        <w:wordWrap/>
        <w:overflowPunct/>
        <w:topLinePunct w:val="0"/>
        <w:autoSpaceDE/>
        <w:autoSpaceDN/>
        <w:bidi w:val="0"/>
        <w:adjustRightInd w:val="0"/>
        <w:snapToGrid w:val="0"/>
        <w:spacing w:line="360" w:lineRule="auto"/>
        <w:ind w:firstLine="480" w:firstLineChars="200"/>
        <w:rPr>
          <w:rFonts w:hint="default"/>
          <w:bCs/>
          <w:color w:val="auto"/>
          <w:lang w:val="en-US" w:eastAsia="zh-CN"/>
        </w:rPr>
      </w:pPr>
      <w:r>
        <w:rPr>
          <w:rFonts w:hint="eastAsia"/>
          <w:bCs/>
          <w:color w:val="auto"/>
          <w:lang w:val="en-US" w:eastAsia="zh-CN"/>
        </w:rPr>
        <w:t>成本目标：项目总投资</w:t>
      </w:r>
      <w:r>
        <w:rPr>
          <w:rFonts w:hint="eastAsia" w:ascii="仿宋_GB2312" w:cs="仿宋"/>
          <w:color w:val="auto"/>
          <w:lang w:val="en-US" w:eastAsia="zh-CN"/>
        </w:rPr>
        <w:t>49120.00</w:t>
      </w:r>
      <w:r>
        <w:rPr>
          <w:rFonts w:hint="eastAsia"/>
          <w:bCs/>
          <w:color w:val="auto"/>
          <w:lang w:val="en-US" w:eastAsia="zh-CN"/>
        </w:rPr>
        <w:t>万元。</w:t>
      </w:r>
    </w:p>
    <w:p w14:paraId="21960724">
      <w:pPr>
        <w:pageBreakBefore w:val="0"/>
        <w:kinsoku/>
        <w:wordWrap/>
        <w:overflowPunct/>
        <w:topLinePunct w:val="0"/>
        <w:autoSpaceDE/>
        <w:autoSpaceDN/>
        <w:bidi w:val="0"/>
        <w:adjustRightInd w:val="0"/>
        <w:snapToGrid w:val="0"/>
        <w:spacing w:before="10" w:after="217" w:afterLines="50" w:line="360" w:lineRule="auto"/>
        <w:ind w:firstLine="643" w:firstLineChars="200"/>
        <w:outlineLvl w:val="1"/>
        <w:rPr>
          <w:rFonts w:hint="default" w:eastAsia="楷体_GB2312"/>
          <w:color w:val="auto"/>
          <w:kern w:val="0"/>
          <w:lang w:val="en-US" w:eastAsia="zh-CN"/>
        </w:rPr>
      </w:pPr>
      <w:r>
        <w:rPr>
          <w:rFonts w:hint="eastAsia" w:ascii="楷体_GB2312" w:eastAsia="楷体_GB2312"/>
          <w:b/>
          <w:color w:val="auto"/>
          <w:sz w:val="32"/>
          <w:szCs w:val="32"/>
        </w:rPr>
        <w:t>（</w:t>
      </w:r>
      <w:r>
        <w:rPr>
          <w:rFonts w:hint="eastAsia" w:ascii="楷体_GB2312" w:eastAsia="楷体_GB2312"/>
          <w:b/>
          <w:color w:val="auto"/>
          <w:sz w:val="32"/>
          <w:szCs w:val="32"/>
          <w:lang w:val="en-US" w:eastAsia="zh-CN"/>
        </w:rPr>
        <w:t>二</w:t>
      </w:r>
      <w:r>
        <w:rPr>
          <w:rFonts w:hint="eastAsia" w:ascii="楷体_GB2312" w:eastAsia="楷体_GB2312"/>
          <w:b/>
          <w:color w:val="auto"/>
          <w:sz w:val="32"/>
          <w:szCs w:val="32"/>
        </w:rPr>
        <w:t>）</w:t>
      </w:r>
      <w:r>
        <w:rPr>
          <w:rFonts w:hint="eastAsia" w:ascii="楷体_GB2312" w:eastAsia="楷体_GB2312"/>
          <w:b/>
          <w:color w:val="auto"/>
          <w:sz w:val="32"/>
          <w:szCs w:val="32"/>
          <w:lang w:val="en-US" w:eastAsia="zh-CN"/>
        </w:rPr>
        <w:t>效益目标</w:t>
      </w:r>
    </w:p>
    <w:p w14:paraId="5142BD16">
      <w:pPr>
        <w:pageBreakBefore w:val="0"/>
        <w:kinsoku/>
        <w:wordWrap/>
        <w:overflowPunct/>
        <w:topLinePunct w:val="0"/>
        <w:autoSpaceDE/>
        <w:autoSpaceDN/>
        <w:bidi w:val="0"/>
        <w:adjustRightInd w:val="0"/>
        <w:snapToGrid w:val="0"/>
        <w:spacing w:line="360" w:lineRule="auto"/>
        <w:ind w:firstLine="480" w:firstLineChars="200"/>
        <w:rPr>
          <w:rFonts w:hint="eastAsia"/>
          <w:bCs/>
          <w:color w:val="auto"/>
          <w:highlight w:val="none"/>
        </w:rPr>
      </w:pPr>
      <w:r>
        <w:rPr>
          <w:rFonts w:hint="eastAsia"/>
          <w:color w:val="auto"/>
          <w:kern w:val="0"/>
          <w:lang w:val="en-US" w:eastAsia="zh-CN"/>
        </w:rPr>
        <w:t>经济效益目标：</w:t>
      </w:r>
      <w:r>
        <w:rPr>
          <w:rFonts w:hint="eastAsia"/>
          <w:color w:val="auto"/>
        </w:rPr>
        <w:t>雅安市雨城区高技术科创园建设项目（一期）收入来源主要为项目建成后科创中心出租收入、物管费收入、充电桩收入、停车费收入、广告收入、砂卵石销售收入，待本项目全部</w:t>
      </w:r>
      <w:r>
        <w:rPr>
          <w:rFonts w:hint="eastAsia"/>
          <w:color w:val="auto"/>
          <w:lang w:eastAsia="zh-CN"/>
        </w:rPr>
        <w:t>37000.00</w:t>
      </w:r>
      <w:r>
        <w:rPr>
          <w:rFonts w:hint="eastAsia"/>
          <w:color w:val="auto"/>
        </w:rPr>
        <w:t>万元专项债到期时，在偿还到期的融资本息后，将仍有</w:t>
      </w:r>
      <w:r>
        <w:rPr>
          <w:rFonts w:hint="eastAsia"/>
          <w:color w:val="auto"/>
          <w:lang w:eastAsia="zh-CN"/>
        </w:rPr>
        <w:t>39421.51</w:t>
      </w:r>
      <w:r>
        <w:rPr>
          <w:rFonts w:hint="eastAsia"/>
          <w:color w:val="auto"/>
        </w:rPr>
        <w:t>万元的累计现金结余。项目预期</w:t>
      </w:r>
      <w:r>
        <w:rPr>
          <w:rFonts w:hint="eastAsia"/>
          <w:color w:val="auto"/>
          <w:highlight w:val="none"/>
        </w:rPr>
        <w:t>收益可用以偿还债务本息，实现资金平衡，</w:t>
      </w:r>
      <w:r>
        <w:rPr>
          <w:bCs/>
          <w:color w:val="auto"/>
          <w:kern w:val="0"/>
          <w:highlight w:val="none"/>
        </w:rPr>
        <w:t>其中：项目债券本息覆盖倍数为</w:t>
      </w:r>
      <w:r>
        <w:rPr>
          <w:rFonts w:hint="eastAsia"/>
          <w:bCs/>
          <w:color w:val="auto"/>
          <w:kern w:val="0"/>
          <w:highlight w:val="none"/>
          <w:lang w:eastAsia="zh-CN"/>
        </w:rPr>
        <w:t>1.58</w:t>
      </w:r>
      <w:r>
        <w:rPr>
          <w:bCs/>
          <w:color w:val="auto"/>
          <w:kern w:val="0"/>
          <w:highlight w:val="none"/>
        </w:rPr>
        <w:t>倍</w:t>
      </w:r>
      <w:r>
        <w:rPr>
          <w:rFonts w:hint="eastAsia"/>
          <w:bCs/>
          <w:color w:val="auto"/>
          <w:highlight w:val="none"/>
        </w:rPr>
        <w:t>。</w:t>
      </w:r>
    </w:p>
    <w:p w14:paraId="727E7D70">
      <w:pPr>
        <w:pageBreakBefore w:val="0"/>
        <w:kinsoku/>
        <w:wordWrap/>
        <w:overflowPunct/>
        <w:topLinePunct w:val="0"/>
        <w:autoSpaceDE/>
        <w:autoSpaceDN/>
        <w:bidi w:val="0"/>
        <w:adjustRightInd w:val="0"/>
        <w:snapToGrid w:val="0"/>
        <w:spacing w:line="360" w:lineRule="auto"/>
        <w:ind w:firstLine="480" w:firstLineChars="200"/>
        <w:rPr>
          <w:rFonts w:hint="eastAsia"/>
          <w:color w:val="auto"/>
          <w:highlight w:val="none"/>
        </w:rPr>
      </w:pPr>
      <w:r>
        <w:rPr>
          <w:rFonts w:hint="eastAsia"/>
          <w:bCs/>
          <w:color w:val="auto"/>
          <w:highlight w:val="none"/>
          <w:lang w:val="en-US" w:eastAsia="zh-CN"/>
        </w:rPr>
        <w:t>社会效益目标：</w:t>
      </w:r>
      <w:r>
        <w:rPr>
          <w:rFonts w:hint="eastAsia"/>
          <w:bCs/>
          <w:color w:val="auto"/>
          <w:highlight w:val="none"/>
        </w:rPr>
        <w:t>本项目的建设将</w:t>
      </w:r>
      <w:r>
        <w:rPr>
          <w:rFonts w:hint="eastAsia"/>
          <w:color w:val="auto"/>
          <w:highlight w:val="none"/>
        </w:rPr>
        <w:t>升科技创新平台综合能力，培育好创新型人才，加快科技成果转化，完善科技平台体制机制建设</w:t>
      </w:r>
      <w:r>
        <w:rPr>
          <w:rFonts w:hint="eastAsia"/>
          <w:color w:val="auto"/>
          <w:highlight w:val="none"/>
          <w:lang w:eastAsia="zh-CN"/>
        </w:rPr>
        <w:t>，</w:t>
      </w:r>
      <w:r>
        <w:rPr>
          <w:rFonts w:hint="eastAsia"/>
          <w:color w:val="auto"/>
          <w:highlight w:val="none"/>
        </w:rPr>
        <w:t>鼓励企业开展技术创新活动，通过搭建技术与资本的结合平台，对企业的研发成果产业化以股权投资及间接投入等方式给予支持。</w:t>
      </w:r>
    </w:p>
    <w:p w14:paraId="08545E65">
      <w:pPr>
        <w:pageBreakBefore w:val="0"/>
        <w:kinsoku/>
        <w:wordWrap/>
        <w:overflowPunct/>
        <w:topLinePunct w:val="0"/>
        <w:autoSpaceDE/>
        <w:autoSpaceDN/>
        <w:bidi w:val="0"/>
        <w:adjustRightInd w:val="0"/>
        <w:snapToGrid w:val="0"/>
        <w:spacing w:line="360" w:lineRule="auto"/>
        <w:ind w:firstLine="480" w:firstLineChars="200"/>
        <w:rPr>
          <w:rFonts w:hint="eastAsia"/>
          <w:bCs/>
          <w:color w:val="auto"/>
          <w:highlight w:val="none"/>
          <w:lang w:val="en-US" w:eastAsia="zh-CN"/>
        </w:rPr>
      </w:pPr>
      <w:r>
        <w:rPr>
          <w:rFonts w:hint="eastAsia"/>
          <w:bCs/>
          <w:color w:val="auto"/>
          <w:highlight w:val="none"/>
          <w:lang w:val="en-US" w:eastAsia="zh-CN"/>
        </w:rPr>
        <w:t>可持续影响目标：</w:t>
      </w:r>
      <w:r>
        <w:rPr>
          <w:rFonts w:hint="eastAsia"/>
          <w:color w:val="auto"/>
          <w:highlight w:val="none"/>
        </w:rPr>
        <w:t>塑造宜居的生活环境，打造舒适便捷的城市生活功能设施，提高城市的宜居性和人的幸福感、获得感，为周边居民提供一个休闲娱乐的环境，提升周围企业、居民的生活品质，促进当地居民生活质量和生活水平的提高。</w:t>
      </w:r>
    </w:p>
    <w:p w14:paraId="5661C5FC">
      <w:pPr>
        <w:pageBreakBefore w:val="0"/>
        <w:kinsoku/>
        <w:wordWrap/>
        <w:overflowPunct/>
        <w:topLinePunct w:val="0"/>
        <w:autoSpaceDE/>
        <w:autoSpaceDN/>
        <w:bidi w:val="0"/>
        <w:adjustRightInd w:val="0"/>
        <w:snapToGrid w:val="0"/>
        <w:spacing w:line="360" w:lineRule="auto"/>
        <w:ind w:firstLine="480" w:firstLineChars="200"/>
        <w:rPr>
          <w:rFonts w:hint="eastAsia" w:eastAsia="仿宋"/>
          <w:color w:val="auto"/>
          <w:lang w:eastAsia="zh-CN"/>
        </w:rPr>
      </w:pPr>
    </w:p>
    <w:p w14:paraId="54BE9411">
      <w:pPr>
        <w:spacing w:before="10" w:after="217" w:afterLines="50" w:line="360" w:lineRule="auto"/>
        <w:ind w:firstLine="643" w:firstLineChars="200"/>
        <w:outlineLvl w:val="1"/>
        <w:rPr>
          <w:rFonts w:hint="eastAsia"/>
          <w:color w:val="auto"/>
          <w:lang w:val="en-US" w:eastAsia="zh-CN"/>
        </w:rPr>
      </w:pPr>
      <w:r>
        <w:rPr>
          <w:rFonts w:hint="eastAsia" w:ascii="楷体_GB2312" w:eastAsia="楷体_GB2312"/>
          <w:b/>
          <w:color w:val="auto"/>
          <w:sz w:val="32"/>
          <w:szCs w:val="32"/>
        </w:rPr>
        <w:t>（</w:t>
      </w:r>
      <w:r>
        <w:rPr>
          <w:rFonts w:hint="eastAsia" w:ascii="楷体_GB2312" w:eastAsia="楷体_GB2312"/>
          <w:b/>
          <w:color w:val="auto"/>
          <w:sz w:val="32"/>
          <w:szCs w:val="32"/>
          <w:lang w:val="en-US" w:eastAsia="zh-Hans"/>
        </w:rPr>
        <w:t>三</w:t>
      </w:r>
      <w:r>
        <w:rPr>
          <w:rFonts w:hint="eastAsia" w:ascii="楷体_GB2312" w:eastAsia="楷体_GB2312"/>
          <w:b/>
          <w:color w:val="auto"/>
          <w:sz w:val="32"/>
          <w:szCs w:val="32"/>
        </w:rPr>
        <w:t>）</w:t>
      </w:r>
      <w:r>
        <w:rPr>
          <w:rFonts w:hint="eastAsia" w:ascii="楷体_GB2312" w:eastAsia="楷体_GB2312"/>
          <w:b/>
          <w:color w:val="auto"/>
          <w:sz w:val="32"/>
          <w:szCs w:val="32"/>
          <w:lang w:val="en-US" w:eastAsia="zh-Hans"/>
        </w:rPr>
        <w:t>满意度</w:t>
      </w:r>
      <w:r>
        <w:rPr>
          <w:rFonts w:hint="eastAsia" w:ascii="楷体_GB2312" w:eastAsia="楷体_GB2312"/>
          <w:b/>
          <w:color w:val="auto"/>
          <w:sz w:val="32"/>
          <w:szCs w:val="32"/>
          <w:lang w:val="en-US" w:eastAsia="zh-CN"/>
        </w:rPr>
        <w:t>目标</w:t>
      </w:r>
    </w:p>
    <w:p w14:paraId="580DAAF7">
      <w:pPr>
        <w:pageBreakBefore w:val="0"/>
        <w:kinsoku/>
        <w:wordWrap/>
        <w:overflowPunct/>
        <w:topLinePunct w:val="0"/>
        <w:autoSpaceDE/>
        <w:autoSpaceDN/>
        <w:bidi w:val="0"/>
        <w:adjustRightInd w:val="0"/>
        <w:snapToGrid w:val="0"/>
        <w:spacing w:after="0" w:line="360" w:lineRule="auto"/>
        <w:ind w:firstLine="480" w:firstLineChars="200"/>
        <w:rPr>
          <w:rFonts w:hint="eastAsia" w:ascii="仿宋" w:hAnsi="仿宋"/>
          <w:bCs/>
          <w:color w:val="auto"/>
          <w:lang w:val="en-US" w:eastAsia="zh-CN"/>
        </w:rPr>
      </w:pPr>
      <w:r>
        <w:rPr>
          <w:rFonts w:hint="eastAsia" w:ascii="仿宋" w:hAnsi="仿宋"/>
          <w:bCs/>
          <w:color w:val="auto"/>
          <w:lang w:val="en-US" w:eastAsia="zh-CN"/>
        </w:rPr>
        <w:t>服务对象满意度目标：通过问卷调查等手段，获取满意度达到“良好/满意/80分”及以上。</w:t>
      </w:r>
    </w:p>
    <w:p w14:paraId="568BE190">
      <w:pPr>
        <w:spacing w:line="560" w:lineRule="exact"/>
        <w:ind w:firstLine="640"/>
        <w:rPr>
          <w:rFonts w:hint="eastAsia" w:ascii="黑体" w:hAnsi="黑体" w:eastAsia="黑体"/>
          <w:color w:val="auto"/>
          <w:sz w:val="32"/>
          <w:szCs w:val="32"/>
        </w:rPr>
      </w:pPr>
    </w:p>
    <w:p w14:paraId="0D615FA6">
      <w:pPr>
        <w:spacing w:line="560" w:lineRule="exact"/>
        <w:ind w:firstLine="640"/>
        <w:rPr>
          <w:rFonts w:hint="eastAsia" w:ascii="黑体" w:hAnsi="黑体" w:eastAsia="黑体"/>
          <w:color w:val="auto"/>
          <w:sz w:val="32"/>
          <w:szCs w:val="32"/>
        </w:rPr>
      </w:pPr>
    </w:p>
    <w:p w14:paraId="6BC864EF">
      <w:pPr>
        <w:spacing w:line="560" w:lineRule="exact"/>
        <w:ind w:firstLine="640"/>
        <w:rPr>
          <w:rFonts w:ascii="黑体" w:hAnsi="黑体" w:eastAsia="黑体"/>
          <w:color w:val="auto"/>
          <w:sz w:val="32"/>
          <w:szCs w:val="32"/>
        </w:rPr>
      </w:pPr>
      <w:r>
        <w:rPr>
          <w:rFonts w:hint="eastAsia" w:ascii="黑体" w:hAnsi="黑体" w:eastAsia="黑体"/>
          <w:color w:val="auto"/>
          <w:sz w:val="32"/>
          <w:szCs w:val="32"/>
        </w:rPr>
        <w:t>六、潜在影响项目的风险评估</w:t>
      </w:r>
    </w:p>
    <w:p w14:paraId="49921E14">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（一）影响项目施工进度或正常运营的风险及控制措施</w:t>
      </w:r>
    </w:p>
    <w:p w14:paraId="20F352D1">
      <w:pPr>
        <w:ind w:firstLine="480"/>
        <w:rPr>
          <w:color w:val="auto"/>
        </w:rPr>
      </w:pPr>
      <w:r>
        <w:rPr>
          <w:rFonts w:hint="eastAsia"/>
          <w:color w:val="auto"/>
        </w:rPr>
        <w:t>对于不可抗力风险、施工方的风险、设计单位的风险、供应商的风险、资金落实风险、工程事故风险等影响施工进度或正常运营的风险，项目相关机构将采取对地块所处自然环境进行充分论证；选取有相应资质、业绩良好、经验丰富的施工单位；对供应商的资质、商业信誉和财务会计制度进行严格审查；做好现场的安全管理工作等措施予以控制。</w:t>
      </w:r>
    </w:p>
    <w:p w14:paraId="75281EAB">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（二）影响项目收益的风险及控制措施</w:t>
      </w:r>
    </w:p>
    <w:p w14:paraId="738F1417">
      <w:pPr>
        <w:ind w:firstLine="480"/>
        <w:rPr>
          <w:color w:val="auto"/>
        </w:rPr>
      </w:pPr>
      <w:r>
        <w:rPr>
          <w:rFonts w:hint="eastAsia"/>
          <w:color w:val="auto"/>
        </w:rPr>
        <w:t>对于经营风险、财务风险等影响项目收益的风险，项目相关机构将全面分析国家项目相关的政策、法律、制度的发展变化；设立项目资金管理专户等措施予以控制。</w:t>
      </w:r>
    </w:p>
    <w:p w14:paraId="67B7CA92">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（三）影响融资平衡结果的风险及控制措施</w:t>
      </w:r>
    </w:p>
    <w:p w14:paraId="68529C8D">
      <w:pPr>
        <w:ind w:firstLine="480"/>
        <w:rPr>
          <w:rFonts w:hint="eastAsia"/>
          <w:color w:val="auto"/>
        </w:rPr>
      </w:pPr>
      <w:r>
        <w:rPr>
          <w:rFonts w:hint="eastAsia"/>
          <w:color w:val="auto"/>
        </w:rPr>
        <w:t>对于投资测算不准确风险、利率波动风险等影响项目收益的风险，项目相关机构将采取根据稳健性原则适当计入一定比例的不可预见费；定期对估算投资进行审核验证、调整；做好现金流监测，充分利用资金、做好还款计划和还款准备等措施予以控制。</w:t>
      </w:r>
    </w:p>
    <w:p w14:paraId="08BD33B5">
      <w:pPr>
        <w:pStyle w:val="2"/>
        <w:rPr>
          <w:color w:val="auto"/>
        </w:rPr>
      </w:pPr>
    </w:p>
    <w:p w14:paraId="0E2BFC01">
      <w:pPr>
        <w:spacing w:line="560" w:lineRule="exact"/>
        <w:ind w:firstLine="640"/>
        <w:rPr>
          <w:rFonts w:ascii="黑体" w:hAnsi="黑体" w:eastAsia="黑体"/>
          <w:color w:val="auto"/>
          <w:sz w:val="32"/>
          <w:szCs w:val="32"/>
        </w:rPr>
      </w:pPr>
      <w:r>
        <w:rPr>
          <w:rFonts w:hint="eastAsia" w:ascii="黑体" w:hAnsi="黑体" w:eastAsia="黑体"/>
          <w:color w:val="auto"/>
          <w:sz w:val="32"/>
          <w:szCs w:val="32"/>
        </w:rPr>
        <w:t>七、还款保障情况</w:t>
      </w:r>
    </w:p>
    <w:p w14:paraId="334FC602">
      <w:pPr>
        <w:ind w:firstLine="480"/>
        <w:rPr>
          <w:rFonts w:hint="eastAsia"/>
          <w:color w:val="auto"/>
          <w:lang w:val="zh-CN"/>
        </w:rPr>
      </w:pPr>
      <w:r>
        <w:rPr>
          <w:rFonts w:hint="eastAsia"/>
          <w:color w:val="auto"/>
          <w:lang w:val="zh-CN"/>
        </w:rPr>
        <w:t>按照《国务院办公厅关于印发地方政府性债务风险应急处置预案的通知》（国办函〔</w:t>
      </w:r>
      <w:r>
        <w:rPr>
          <w:color w:val="auto"/>
          <w:lang w:val="zh-CN"/>
        </w:rPr>
        <w:t>2016〕88号）规定，本级政府对地方政府债券依法承担全部偿还责任。本级财政将按照《财政部关于印发&lt;地方政府专项债务预算管理办法&gt;的通知》（财预〔2016〕155号）规定，及时按照转贷协议约定逐级向省财政缴纳本级应当承担的还本付息资金，由省财政按照合同约定及时偿还专项债券到期本息。如偿债出现困难，将通过调减投资计划、处置可变现资产、调整预算支出结构等方式筹集资金偿还债务。未按时足额向省财政缴纳专项债券还本付息资金的,省财政采取适当方式</w:t>
      </w:r>
      <w:r>
        <w:rPr>
          <w:rFonts w:hint="eastAsia"/>
          <w:color w:val="auto"/>
          <w:lang w:val="zh-CN"/>
        </w:rPr>
        <w:t>扣回。</w:t>
      </w:r>
    </w:p>
    <w:p w14:paraId="15FF1D57">
      <w:pPr>
        <w:pStyle w:val="2"/>
        <w:rPr>
          <w:color w:val="auto"/>
          <w:lang w:val="zh-CN"/>
        </w:rPr>
      </w:pPr>
    </w:p>
    <w:p w14:paraId="0E0502F6">
      <w:pPr>
        <w:spacing w:line="560" w:lineRule="exact"/>
        <w:ind w:firstLine="640"/>
        <w:rPr>
          <w:rFonts w:ascii="黑体" w:hAnsi="黑体" w:eastAsia="黑体"/>
          <w:color w:val="auto"/>
          <w:sz w:val="32"/>
          <w:szCs w:val="32"/>
        </w:rPr>
      </w:pPr>
      <w:r>
        <w:rPr>
          <w:rFonts w:hint="eastAsia" w:ascii="黑体" w:hAnsi="黑体" w:eastAsia="黑体"/>
          <w:color w:val="auto"/>
          <w:sz w:val="32"/>
          <w:szCs w:val="32"/>
        </w:rPr>
        <w:t>八、主管部门职责和项目单位职责</w:t>
      </w:r>
    </w:p>
    <w:p w14:paraId="3ABD2C18">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（一）主管部门职责</w:t>
      </w:r>
    </w:p>
    <w:p w14:paraId="6EA509F0">
      <w:pPr>
        <w:ind w:firstLine="480"/>
        <w:rPr>
          <w:color w:val="auto"/>
        </w:rPr>
      </w:pPr>
      <w:r>
        <w:rPr>
          <w:rFonts w:hint="eastAsia"/>
          <w:color w:val="auto"/>
        </w:rPr>
        <w:t>本项目的主管部门是</w:t>
      </w:r>
      <w:r>
        <w:rPr>
          <w:rFonts w:hint="eastAsia"/>
          <w:color w:val="auto"/>
          <w:lang w:eastAsia="zh-CN"/>
        </w:rPr>
        <w:t>雅安市雨城区发展和改革局</w:t>
      </w:r>
      <w:r>
        <w:rPr>
          <w:rFonts w:hint="eastAsia"/>
          <w:color w:val="auto"/>
        </w:rPr>
        <w:t>，其职责为：</w:t>
      </w:r>
    </w:p>
    <w:p w14:paraId="469B713C">
      <w:pPr>
        <w:ind w:firstLine="480"/>
        <w:rPr>
          <w:color w:val="auto"/>
        </w:rPr>
      </w:pPr>
      <w:r>
        <w:rPr>
          <w:rFonts w:hint="eastAsia"/>
          <w:color w:val="auto"/>
        </w:rPr>
        <w:t>1</w:t>
      </w:r>
      <w:r>
        <w:rPr>
          <w:color w:val="auto"/>
        </w:rPr>
        <w:t>.</w:t>
      </w:r>
      <w:r>
        <w:rPr>
          <w:rFonts w:hint="eastAsia"/>
          <w:color w:val="auto"/>
        </w:rPr>
        <w:t>认真履行项目建设、运营和维护责任，确保项目如期建设、如期投入运营，早日实现持续稳定的收益。</w:t>
      </w:r>
    </w:p>
    <w:p w14:paraId="12D23606">
      <w:pPr>
        <w:ind w:firstLine="480"/>
        <w:rPr>
          <w:color w:val="auto"/>
        </w:rPr>
      </w:pPr>
      <w:r>
        <w:rPr>
          <w:rFonts w:hint="eastAsia"/>
          <w:color w:val="auto"/>
        </w:rPr>
        <w:t>2</w:t>
      </w:r>
      <w:r>
        <w:rPr>
          <w:color w:val="auto"/>
        </w:rPr>
        <w:t>.</w:t>
      </w:r>
      <w:r>
        <w:rPr>
          <w:rFonts w:hint="eastAsia"/>
          <w:color w:val="auto"/>
        </w:rPr>
        <w:t>监督指导建设运营主体规范使用本专项债券资金，对发现的违法违规资金使用进行严肃处理和责任追究。</w:t>
      </w:r>
    </w:p>
    <w:p w14:paraId="20F0B706">
      <w:pPr>
        <w:ind w:firstLine="480"/>
        <w:rPr>
          <w:color w:val="auto"/>
        </w:rPr>
      </w:pPr>
      <w:r>
        <w:rPr>
          <w:rFonts w:hint="eastAsia"/>
          <w:color w:val="auto"/>
        </w:rPr>
        <w:t>3</w:t>
      </w:r>
      <w:r>
        <w:rPr>
          <w:color w:val="auto"/>
        </w:rPr>
        <w:t>.</w:t>
      </w:r>
      <w:r>
        <w:rPr>
          <w:rFonts w:hint="eastAsia"/>
          <w:color w:val="auto"/>
        </w:rPr>
        <w:t>配合做好债券对应项目形成资产的登记管理工作，做好日常统计和动态监控；确保项目资产独立性和确认资产权益归属，严禁专项债券对应资产和权益用于为融资平台公司等企业融资提供担保和抵押，不对专项债券对应项目资产进行转移和划拨注入企业。</w:t>
      </w:r>
    </w:p>
    <w:p w14:paraId="3B866439">
      <w:pPr>
        <w:ind w:firstLine="480"/>
        <w:rPr>
          <w:color w:val="auto"/>
        </w:rPr>
      </w:pPr>
      <w:r>
        <w:rPr>
          <w:rFonts w:hint="eastAsia"/>
          <w:color w:val="auto"/>
        </w:rPr>
        <w:t>4</w:t>
      </w:r>
      <w:r>
        <w:rPr>
          <w:color w:val="auto"/>
        </w:rPr>
        <w:t>.</w:t>
      </w:r>
      <w:r>
        <w:rPr>
          <w:rFonts w:hint="eastAsia"/>
          <w:color w:val="auto"/>
        </w:rPr>
        <w:t>在门户网站等及时披露专项债券对应的项目概况、项目预期收益和融资平衡方案、专项债券规模和期限、发行计划安排、还本付息等信息。</w:t>
      </w:r>
    </w:p>
    <w:p w14:paraId="6E188742">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（二）项目单位职责</w:t>
      </w:r>
    </w:p>
    <w:p w14:paraId="475FB08C">
      <w:pPr>
        <w:ind w:firstLine="480"/>
        <w:rPr>
          <w:color w:val="auto"/>
        </w:rPr>
      </w:pPr>
      <w:r>
        <w:rPr>
          <w:rFonts w:hint="eastAsia"/>
          <w:color w:val="auto"/>
        </w:rPr>
        <w:t>本项目的业主单位是雅安蜀天新城开发建设有限责任公司，其职责为：</w:t>
      </w:r>
    </w:p>
    <w:p w14:paraId="6191014D">
      <w:pPr>
        <w:ind w:firstLine="480"/>
        <w:rPr>
          <w:color w:val="auto"/>
        </w:rPr>
      </w:pPr>
      <w:r>
        <w:rPr>
          <w:color w:val="auto"/>
        </w:rPr>
        <w:t>1.提出专项债券项目需求申请，编制报送项目实施方案及相关资料，配合做好债券发行准备。</w:t>
      </w:r>
    </w:p>
    <w:p w14:paraId="0693D1A7">
      <w:pPr>
        <w:ind w:firstLine="480"/>
        <w:rPr>
          <w:color w:val="auto"/>
        </w:rPr>
      </w:pPr>
      <w:r>
        <w:rPr>
          <w:color w:val="auto"/>
        </w:rPr>
        <w:t>2.规范使用债券资金，及时形成支出，提高资金使用效益。</w:t>
      </w:r>
    </w:p>
    <w:p w14:paraId="54408568">
      <w:pPr>
        <w:ind w:firstLine="480"/>
        <w:rPr>
          <w:color w:val="auto"/>
        </w:rPr>
      </w:pPr>
      <w:r>
        <w:rPr>
          <w:color w:val="auto"/>
        </w:rPr>
        <w:t>3.定期评估项目成本、预期收益和对应资产价值等，发现风险或异常情况及时向主管部门报告。</w:t>
      </w:r>
    </w:p>
    <w:p w14:paraId="6D151895">
      <w:pPr>
        <w:ind w:firstLine="480"/>
        <w:rPr>
          <w:color w:val="auto"/>
        </w:rPr>
      </w:pPr>
      <w:r>
        <w:rPr>
          <w:color w:val="auto"/>
        </w:rPr>
        <w:t>4.向上级部门总结汇报项目实施情况，贯彻落实上级指示要求；研究解决项目实施中的其他重大问题。</w:t>
      </w:r>
    </w:p>
    <w:p w14:paraId="10A5BF6E">
      <w:pPr>
        <w:pStyle w:val="2"/>
        <w:rPr>
          <w:color w:val="auto"/>
        </w:rPr>
      </w:pPr>
    </w:p>
    <w:p w14:paraId="0E5DC1DB">
      <w:pPr>
        <w:spacing w:line="560" w:lineRule="exact"/>
        <w:ind w:firstLine="640"/>
        <w:rPr>
          <w:rFonts w:ascii="黑体" w:hAnsi="黑体" w:eastAsia="黑体"/>
          <w:color w:val="auto"/>
          <w:sz w:val="32"/>
          <w:szCs w:val="32"/>
        </w:rPr>
      </w:pPr>
      <w:r>
        <w:rPr>
          <w:rFonts w:hint="eastAsia" w:ascii="黑体" w:hAnsi="黑体" w:eastAsia="黑体"/>
          <w:color w:val="auto"/>
          <w:sz w:val="32"/>
          <w:szCs w:val="32"/>
        </w:rPr>
        <w:t>九、补充说明</w:t>
      </w:r>
    </w:p>
    <w:bookmarkEnd w:id="2"/>
    <w:p w14:paraId="63AF288D">
      <w:pPr>
        <w:ind w:firstLine="480"/>
        <w:rPr>
          <w:color w:val="auto"/>
        </w:rPr>
      </w:pPr>
      <w:r>
        <w:rPr>
          <w:rFonts w:hint="eastAsia"/>
          <w:color w:val="auto"/>
        </w:rPr>
        <w:t>此项目债券资金总需求</w:t>
      </w:r>
      <w:r>
        <w:rPr>
          <w:rFonts w:hint="eastAsia"/>
          <w:color w:val="auto"/>
          <w:lang w:val="en-US" w:eastAsia="zh-CN"/>
        </w:rPr>
        <w:t>37</w:t>
      </w:r>
      <w:r>
        <w:rPr>
          <w:rFonts w:hint="eastAsia"/>
          <w:color w:val="auto"/>
        </w:rPr>
        <w:t>000万元，根据地方政府债务限额管理要求和项目实施进展情况，20</w:t>
      </w:r>
      <w:r>
        <w:rPr>
          <w:rFonts w:hint="eastAsia"/>
          <w:color w:val="auto"/>
          <w:lang w:val="en-US" w:eastAsia="zh-CN"/>
        </w:rPr>
        <w:t>22</w:t>
      </w:r>
      <w:r>
        <w:rPr>
          <w:rFonts w:hint="eastAsia"/>
          <w:color w:val="auto"/>
        </w:rPr>
        <w:t>年-202</w:t>
      </w:r>
      <w:r>
        <w:rPr>
          <w:rFonts w:hint="eastAsia"/>
          <w:color w:val="auto"/>
          <w:lang w:val="en-US" w:eastAsia="zh-CN"/>
        </w:rPr>
        <w:t>5</w:t>
      </w:r>
      <w:r>
        <w:rPr>
          <w:rFonts w:hint="eastAsia"/>
          <w:color w:val="auto"/>
        </w:rPr>
        <w:t>年已发行</w:t>
      </w:r>
      <w:r>
        <w:rPr>
          <w:rFonts w:hint="eastAsia"/>
          <w:color w:val="auto"/>
          <w:lang w:val="en-US" w:eastAsia="zh-CN"/>
        </w:rPr>
        <w:t>4800</w:t>
      </w:r>
      <w:r>
        <w:rPr>
          <w:rFonts w:hint="eastAsia"/>
          <w:color w:val="auto"/>
        </w:rPr>
        <w:t>万元。本次拟继续发行</w:t>
      </w:r>
      <w:r>
        <w:rPr>
          <w:rFonts w:hint="eastAsia"/>
          <w:color w:val="auto"/>
          <w:lang w:val="en-US" w:eastAsia="zh-CN"/>
        </w:rPr>
        <w:t>39</w:t>
      </w:r>
      <w:r>
        <w:rPr>
          <w:rFonts w:hint="eastAsia"/>
          <w:color w:val="auto"/>
        </w:rPr>
        <w:t>00万元，期限20年。该项目实施内容及收益来源未发生变动，在不超过项目债券总需求情况下，债券分批次跨年发行对项目整体融资平衡不构成实质影响。</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LF_Kai">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0000000000000000000"/>
    <w:charset w:val="86"/>
    <w:family w:val="auto"/>
    <w:pitch w:val="default"/>
    <w:sig w:usb0="00000000" w:usb1="00000000" w:usb2="00000010" w:usb3="00000000" w:csb0="00040000"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723C8D">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A8EE19">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256B32">
    <w:pPr>
      <w:pStyle w:val="1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73EE82">
    <w:pPr>
      <w:pStyle w:val="11"/>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337234">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CA4744">
    <w:pPr>
      <w:pStyle w:val="11"/>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JlMTRkNWQwMWQ5ZWQ0ZmVkY2IxZGUyZThhMjZlYzAifQ=="/>
  </w:docVars>
  <w:rsids>
    <w:rsidRoot w:val="00172A27"/>
    <w:rsid w:val="00043975"/>
    <w:rsid w:val="000A65E8"/>
    <w:rsid w:val="000B29E5"/>
    <w:rsid w:val="000C0B8B"/>
    <w:rsid w:val="00120219"/>
    <w:rsid w:val="001206A9"/>
    <w:rsid w:val="00123FE8"/>
    <w:rsid w:val="001C7F88"/>
    <w:rsid w:val="002012C5"/>
    <w:rsid w:val="002729D2"/>
    <w:rsid w:val="00274E56"/>
    <w:rsid w:val="002A6411"/>
    <w:rsid w:val="002E3649"/>
    <w:rsid w:val="00312739"/>
    <w:rsid w:val="0031331F"/>
    <w:rsid w:val="00331FD0"/>
    <w:rsid w:val="00374629"/>
    <w:rsid w:val="00374D6A"/>
    <w:rsid w:val="003C421E"/>
    <w:rsid w:val="003C7CC3"/>
    <w:rsid w:val="003D7D79"/>
    <w:rsid w:val="00401F8C"/>
    <w:rsid w:val="004257C2"/>
    <w:rsid w:val="0049076A"/>
    <w:rsid w:val="004B190A"/>
    <w:rsid w:val="004B5CEC"/>
    <w:rsid w:val="004D1630"/>
    <w:rsid w:val="004D2345"/>
    <w:rsid w:val="00511187"/>
    <w:rsid w:val="0052526C"/>
    <w:rsid w:val="00567C25"/>
    <w:rsid w:val="00570174"/>
    <w:rsid w:val="005C58CA"/>
    <w:rsid w:val="005D2888"/>
    <w:rsid w:val="005E10DC"/>
    <w:rsid w:val="005F3057"/>
    <w:rsid w:val="00614B0B"/>
    <w:rsid w:val="00615028"/>
    <w:rsid w:val="00622204"/>
    <w:rsid w:val="006E6AA2"/>
    <w:rsid w:val="00723816"/>
    <w:rsid w:val="007676AB"/>
    <w:rsid w:val="007B6674"/>
    <w:rsid w:val="0081477F"/>
    <w:rsid w:val="00826303"/>
    <w:rsid w:val="008820AF"/>
    <w:rsid w:val="008C36B2"/>
    <w:rsid w:val="008F0FA3"/>
    <w:rsid w:val="00916B43"/>
    <w:rsid w:val="0093189A"/>
    <w:rsid w:val="00995942"/>
    <w:rsid w:val="009A6AEE"/>
    <w:rsid w:val="009B1077"/>
    <w:rsid w:val="009B3F55"/>
    <w:rsid w:val="00A804BE"/>
    <w:rsid w:val="00AB4F6E"/>
    <w:rsid w:val="00AB5163"/>
    <w:rsid w:val="00AF5F9F"/>
    <w:rsid w:val="00AF6C07"/>
    <w:rsid w:val="00B543D8"/>
    <w:rsid w:val="00B70CCC"/>
    <w:rsid w:val="00B86133"/>
    <w:rsid w:val="00BA785D"/>
    <w:rsid w:val="00BB73A5"/>
    <w:rsid w:val="00BC43D9"/>
    <w:rsid w:val="00BE1F42"/>
    <w:rsid w:val="00BE2F03"/>
    <w:rsid w:val="00C573EA"/>
    <w:rsid w:val="00C87C46"/>
    <w:rsid w:val="00CA505F"/>
    <w:rsid w:val="00CB2856"/>
    <w:rsid w:val="00CB70FF"/>
    <w:rsid w:val="00D15A74"/>
    <w:rsid w:val="00D21F92"/>
    <w:rsid w:val="00D67EAF"/>
    <w:rsid w:val="00DF0C98"/>
    <w:rsid w:val="00E03246"/>
    <w:rsid w:val="00E32881"/>
    <w:rsid w:val="00E52722"/>
    <w:rsid w:val="00E53CF2"/>
    <w:rsid w:val="00EA0719"/>
    <w:rsid w:val="00EA1B05"/>
    <w:rsid w:val="00EA3402"/>
    <w:rsid w:val="00EF6843"/>
    <w:rsid w:val="00EF7DF3"/>
    <w:rsid w:val="00F17B2C"/>
    <w:rsid w:val="00F614DA"/>
    <w:rsid w:val="00F62E2E"/>
    <w:rsid w:val="00F67CF9"/>
    <w:rsid w:val="00F85E3A"/>
    <w:rsid w:val="00F91DA4"/>
    <w:rsid w:val="00F949F3"/>
    <w:rsid w:val="00FB6832"/>
    <w:rsid w:val="00FC6E4C"/>
    <w:rsid w:val="00FD2A48"/>
    <w:rsid w:val="00FD5D0D"/>
    <w:rsid w:val="00FE67E4"/>
    <w:rsid w:val="013C0B86"/>
    <w:rsid w:val="026C6D7F"/>
    <w:rsid w:val="03702F15"/>
    <w:rsid w:val="03A37698"/>
    <w:rsid w:val="04E157E2"/>
    <w:rsid w:val="090F16FB"/>
    <w:rsid w:val="0AD44959"/>
    <w:rsid w:val="103565DA"/>
    <w:rsid w:val="108F1C24"/>
    <w:rsid w:val="11154BC2"/>
    <w:rsid w:val="127C1016"/>
    <w:rsid w:val="130A061A"/>
    <w:rsid w:val="14642729"/>
    <w:rsid w:val="14A8633C"/>
    <w:rsid w:val="1511054C"/>
    <w:rsid w:val="161F202E"/>
    <w:rsid w:val="17056770"/>
    <w:rsid w:val="17625D82"/>
    <w:rsid w:val="18934C0E"/>
    <w:rsid w:val="189D4F9E"/>
    <w:rsid w:val="19033AC8"/>
    <w:rsid w:val="1B844F7B"/>
    <w:rsid w:val="1C7F5BD5"/>
    <w:rsid w:val="1CEE2F53"/>
    <w:rsid w:val="1F347C4A"/>
    <w:rsid w:val="2020322B"/>
    <w:rsid w:val="207612CA"/>
    <w:rsid w:val="23EC5768"/>
    <w:rsid w:val="24C70119"/>
    <w:rsid w:val="2542036E"/>
    <w:rsid w:val="25C63DD5"/>
    <w:rsid w:val="27DA1D9B"/>
    <w:rsid w:val="2A520E5E"/>
    <w:rsid w:val="2B667F60"/>
    <w:rsid w:val="2C344145"/>
    <w:rsid w:val="2C974875"/>
    <w:rsid w:val="2CC56979"/>
    <w:rsid w:val="2D872B3B"/>
    <w:rsid w:val="2EED5AF8"/>
    <w:rsid w:val="2F8135BA"/>
    <w:rsid w:val="2FFD58B8"/>
    <w:rsid w:val="3575771D"/>
    <w:rsid w:val="35915890"/>
    <w:rsid w:val="35934370"/>
    <w:rsid w:val="36C238C4"/>
    <w:rsid w:val="37DA4301"/>
    <w:rsid w:val="38412E02"/>
    <w:rsid w:val="38DD43F6"/>
    <w:rsid w:val="39BA23D6"/>
    <w:rsid w:val="3A1B1FA5"/>
    <w:rsid w:val="3C1732DC"/>
    <w:rsid w:val="3C742F89"/>
    <w:rsid w:val="3E7E3A38"/>
    <w:rsid w:val="3E9B53A9"/>
    <w:rsid w:val="3EF02FCB"/>
    <w:rsid w:val="3F08119B"/>
    <w:rsid w:val="3F342109"/>
    <w:rsid w:val="3FFD8044"/>
    <w:rsid w:val="414A47BD"/>
    <w:rsid w:val="41766CF7"/>
    <w:rsid w:val="43D51A79"/>
    <w:rsid w:val="45EE1A42"/>
    <w:rsid w:val="46E458D8"/>
    <w:rsid w:val="48E80932"/>
    <w:rsid w:val="4EFE032C"/>
    <w:rsid w:val="4FE439C5"/>
    <w:rsid w:val="50704EAB"/>
    <w:rsid w:val="50E43114"/>
    <w:rsid w:val="51A451BA"/>
    <w:rsid w:val="51AC194C"/>
    <w:rsid w:val="51B80C66"/>
    <w:rsid w:val="528B64DA"/>
    <w:rsid w:val="53193986"/>
    <w:rsid w:val="532F7F75"/>
    <w:rsid w:val="572F127F"/>
    <w:rsid w:val="57325016"/>
    <w:rsid w:val="57E928C6"/>
    <w:rsid w:val="5B14228C"/>
    <w:rsid w:val="5C074916"/>
    <w:rsid w:val="5CC1107F"/>
    <w:rsid w:val="600F439D"/>
    <w:rsid w:val="63E65214"/>
    <w:rsid w:val="679531A0"/>
    <w:rsid w:val="67BE0899"/>
    <w:rsid w:val="68237C7D"/>
    <w:rsid w:val="688B4728"/>
    <w:rsid w:val="69CF7CFA"/>
    <w:rsid w:val="6C1B518B"/>
    <w:rsid w:val="6CC764CB"/>
    <w:rsid w:val="6DF40E20"/>
    <w:rsid w:val="6E7D2368"/>
    <w:rsid w:val="72AB4FD1"/>
    <w:rsid w:val="738F3CB5"/>
    <w:rsid w:val="74AF37F5"/>
    <w:rsid w:val="763E3D31"/>
    <w:rsid w:val="79FF8168"/>
    <w:rsid w:val="7A236215"/>
    <w:rsid w:val="7B0D2A2E"/>
    <w:rsid w:val="7EDB7BBE"/>
    <w:rsid w:val="FEFB19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仿宋" w:hAnsi="仿宋" w:eastAsia="仿宋" w:cs="Times New Roman"/>
      <w:color w:val="000000"/>
      <w:kern w:val="2"/>
      <w:sz w:val="24"/>
      <w:szCs w:val="24"/>
      <w:lang w:val="en-US" w:eastAsia="zh-CN" w:bidi="ar-SA"/>
    </w:rPr>
  </w:style>
  <w:style w:type="paragraph" w:styleId="5">
    <w:name w:val="heading 1"/>
    <w:basedOn w:val="1"/>
    <w:next w:val="1"/>
    <w:link w:val="27"/>
    <w:qFormat/>
    <w:uiPriority w:val="9"/>
    <w:pPr>
      <w:spacing w:before="50" w:beforeLines="50" w:after="50" w:afterLines="50"/>
      <w:ind w:left="200" w:leftChars="200" w:firstLine="0" w:firstLineChars="0"/>
      <w:outlineLvl w:val="0"/>
    </w:pPr>
    <w:rPr>
      <w:rFonts w:ascii="黑体" w:eastAsia="黑体"/>
      <w:sz w:val="32"/>
    </w:rPr>
  </w:style>
  <w:style w:type="paragraph" w:styleId="6">
    <w:name w:val="heading 2"/>
    <w:basedOn w:val="1"/>
    <w:next w:val="1"/>
    <w:link w:val="28"/>
    <w:unhideWhenUsed/>
    <w:qFormat/>
    <w:uiPriority w:val="9"/>
    <w:pPr>
      <w:spacing w:before="50" w:beforeLines="50" w:after="50" w:afterLines="50"/>
      <w:ind w:left="200" w:leftChars="200" w:firstLine="0" w:firstLineChars="0"/>
      <w:outlineLvl w:val="1"/>
    </w:pPr>
    <w:rPr>
      <w:rFonts w:ascii="楷体_GB2312" w:eastAsia="楷体"/>
      <w:b/>
      <w:sz w:val="32"/>
    </w:rPr>
  </w:style>
  <w:style w:type="paragraph" w:styleId="7">
    <w:name w:val="heading 3"/>
    <w:basedOn w:val="1"/>
    <w:next w:val="1"/>
    <w:link w:val="29"/>
    <w:unhideWhenUsed/>
    <w:qFormat/>
    <w:uiPriority w:val="9"/>
    <w:pPr>
      <w:spacing w:before="50" w:beforeLines="50" w:after="50" w:afterLines="50"/>
      <w:ind w:left="200" w:leftChars="200" w:firstLine="0" w:firstLineChars="0"/>
      <w:outlineLvl w:val="2"/>
    </w:pPr>
    <w:rPr>
      <w:b/>
      <w:sz w:val="32"/>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1"/>
    <w:unhideWhenUsed/>
    <w:qFormat/>
    <w:uiPriority w:val="99"/>
    <w:pPr>
      <w:spacing w:before="0" w:after="120" w:line="240" w:lineRule="auto"/>
      <w:ind w:firstLine="420" w:firstLineChars="100"/>
    </w:pPr>
    <w:rPr>
      <w:rFonts w:ascii="Times New Roman" w:hAnsi="Times New Roman" w:eastAsia="宋体"/>
      <w:sz w:val="21"/>
      <w:szCs w:val="24"/>
      <w:lang w:val="en-US"/>
    </w:rPr>
  </w:style>
  <w:style w:type="paragraph" w:styleId="3">
    <w:name w:val="Body Text"/>
    <w:basedOn w:val="1"/>
    <w:next w:val="4"/>
    <w:link w:val="20"/>
    <w:qFormat/>
    <w:uiPriority w:val="99"/>
    <w:pPr>
      <w:adjustRightInd w:val="0"/>
      <w:snapToGrid w:val="0"/>
      <w:spacing w:before="150" w:after="150" w:line="264" w:lineRule="auto"/>
      <w:ind w:firstLine="567"/>
    </w:pPr>
    <w:rPr>
      <w:rFonts w:ascii="华文楷体" w:hAnsi="华文楷体" w:eastAsia="LF_Kai"/>
      <w:kern w:val="0"/>
      <w:szCs w:val="20"/>
      <w:lang w:val="en-GB"/>
    </w:rPr>
  </w:style>
  <w:style w:type="paragraph" w:styleId="4">
    <w:name w:val="toc 1"/>
    <w:basedOn w:val="1"/>
    <w:next w:val="1"/>
    <w:qFormat/>
    <w:uiPriority w:val="39"/>
    <w:pPr>
      <w:tabs>
        <w:tab w:val="left" w:pos="540"/>
        <w:tab w:val="right" w:leader="dot" w:pos="8296"/>
      </w:tabs>
      <w:adjustRightInd w:val="0"/>
      <w:snapToGrid w:val="0"/>
      <w:spacing w:before="120" w:after="120"/>
    </w:pPr>
    <w:rPr>
      <w:rFonts w:ascii="Calibri" w:hAnsi="Calibri" w:eastAsia="仿宋_GB2312" w:cs="Calibri"/>
      <w:b/>
      <w:bCs/>
      <w:caps/>
      <w:sz w:val="28"/>
      <w:szCs w:val="28"/>
    </w:rPr>
  </w:style>
  <w:style w:type="paragraph" w:styleId="8">
    <w:name w:val="annotation text"/>
    <w:basedOn w:val="1"/>
    <w:link w:val="21"/>
    <w:unhideWhenUsed/>
    <w:qFormat/>
    <w:uiPriority w:val="99"/>
    <w:pPr>
      <w:jc w:val="left"/>
    </w:pPr>
  </w:style>
  <w:style w:type="paragraph" w:styleId="9">
    <w:name w:val="Balloon Text"/>
    <w:basedOn w:val="1"/>
    <w:link w:val="23"/>
    <w:semiHidden/>
    <w:unhideWhenUsed/>
    <w:qFormat/>
    <w:uiPriority w:val="99"/>
    <w:rPr>
      <w:sz w:val="18"/>
      <w:szCs w:val="18"/>
    </w:rPr>
  </w:style>
  <w:style w:type="paragraph" w:styleId="10">
    <w:name w:val="footer"/>
    <w:basedOn w:val="1"/>
    <w:link w:val="25"/>
    <w:unhideWhenUsed/>
    <w:qFormat/>
    <w:uiPriority w:val="99"/>
    <w:pPr>
      <w:tabs>
        <w:tab w:val="center" w:pos="4153"/>
        <w:tab w:val="right" w:pos="8306"/>
      </w:tabs>
      <w:snapToGrid w:val="0"/>
      <w:jc w:val="left"/>
    </w:pPr>
    <w:rPr>
      <w:sz w:val="18"/>
      <w:szCs w:val="18"/>
    </w:rPr>
  </w:style>
  <w:style w:type="paragraph" w:styleId="11">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itle"/>
    <w:basedOn w:val="1"/>
    <w:next w:val="1"/>
    <w:link w:val="26"/>
    <w:qFormat/>
    <w:uiPriority w:val="10"/>
    <w:pPr>
      <w:spacing w:before="156" w:beforeLines="50" w:after="312" w:afterLines="100"/>
      <w:ind w:firstLine="0" w:firstLineChars="0"/>
      <w:jc w:val="center"/>
    </w:pPr>
    <w:rPr>
      <w:rFonts w:ascii="方正小标宋简体" w:hAnsi="Calibri" w:eastAsia="方正小标宋简体"/>
      <w:sz w:val="40"/>
      <w:szCs w:val="40"/>
    </w:rPr>
  </w:style>
  <w:style w:type="paragraph" w:styleId="13">
    <w:name w:val="annotation subject"/>
    <w:basedOn w:val="8"/>
    <w:next w:val="8"/>
    <w:link w:val="22"/>
    <w:semiHidden/>
    <w:unhideWhenUsed/>
    <w:qFormat/>
    <w:uiPriority w:val="99"/>
    <w:rPr>
      <w:b/>
      <w:bCs/>
    </w:rPr>
  </w:style>
  <w:style w:type="character" w:styleId="16">
    <w:name w:val="annotation reference"/>
    <w:basedOn w:val="15"/>
    <w:semiHidden/>
    <w:unhideWhenUsed/>
    <w:qFormat/>
    <w:uiPriority w:val="99"/>
    <w:rPr>
      <w:sz w:val="21"/>
      <w:szCs w:val="21"/>
    </w:rPr>
  </w:style>
  <w:style w:type="paragraph" w:customStyle="1" w:styleId="17">
    <w:name w:val="Default"/>
    <w:unhideWhenUsed/>
    <w:qFormat/>
    <w:uiPriority w:val="0"/>
    <w:pPr>
      <w:widowControl w:val="0"/>
      <w:autoSpaceDE w:val="0"/>
      <w:autoSpaceDN w:val="0"/>
      <w:adjustRightInd w:val="0"/>
      <w:spacing w:beforeLines="0" w:afterLines="0"/>
    </w:pPr>
    <w:rPr>
      <w:rFonts w:hint="eastAsia" w:ascii="黑体" w:hAnsi="Calibri" w:eastAsia="黑体" w:cs="黑体"/>
      <w:color w:val="000000"/>
      <w:sz w:val="24"/>
      <w:szCs w:val="24"/>
      <w:lang w:val="en-US" w:eastAsia="zh-CN" w:bidi="ar-SA"/>
    </w:rPr>
  </w:style>
  <w:style w:type="character" w:customStyle="1" w:styleId="18">
    <w:name w:val="Body text|2_"/>
    <w:link w:val="19"/>
    <w:qFormat/>
    <w:uiPriority w:val="0"/>
    <w:rPr>
      <w:rFonts w:ascii="PMingLiU" w:hAnsi="PMingLiU" w:eastAsia="PMingLiU" w:cs="PMingLiU"/>
      <w:sz w:val="22"/>
      <w:shd w:val="clear" w:color="auto" w:fill="FFFFFF"/>
    </w:rPr>
  </w:style>
  <w:style w:type="paragraph" w:customStyle="1" w:styleId="19">
    <w:name w:val="Body text|2"/>
    <w:basedOn w:val="1"/>
    <w:link w:val="18"/>
    <w:qFormat/>
    <w:uiPriority w:val="0"/>
    <w:pPr>
      <w:shd w:val="clear" w:color="auto" w:fill="FFFFFF"/>
      <w:spacing w:after="100" w:line="220" w:lineRule="exact"/>
      <w:jc w:val="left"/>
    </w:pPr>
    <w:rPr>
      <w:rFonts w:ascii="PMingLiU" w:hAnsi="PMingLiU" w:eastAsia="PMingLiU" w:cs="PMingLiU"/>
      <w:sz w:val="22"/>
    </w:rPr>
  </w:style>
  <w:style w:type="character" w:customStyle="1" w:styleId="20">
    <w:name w:val="正文文本 字符"/>
    <w:basedOn w:val="15"/>
    <w:link w:val="3"/>
    <w:qFormat/>
    <w:uiPriority w:val="99"/>
    <w:rPr>
      <w:rFonts w:ascii="华文楷体" w:hAnsi="华文楷体" w:eastAsia="LF_Kai" w:cs="Times New Roman"/>
      <w:kern w:val="0"/>
      <w:sz w:val="24"/>
      <w:szCs w:val="20"/>
      <w:lang w:val="en-GB"/>
    </w:rPr>
  </w:style>
  <w:style w:type="character" w:customStyle="1" w:styleId="21">
    <w:name w:val="批注文字 字符"/>
    <w:basedOn w:val="15"/>
    <w:link w:val="8"/>
    <w:qFormat/>
    <w:uiPriority w:val="99"/>
  </w:style>
  <w:style w:type="character" w:customStyle="1" w:styleId="22">
    <w:name w:val="批注主题 字符"/>
    <w:basedOn w:val="21"/>
    <w:link w:val="13"/>
    <w:semiHidden/>
    <w:qFormat/>
    <w:uiPriority w:val="99"/>
    <w:rPr>
      <w:b/>
      <w:bCs/>
    </w:rPr>
  </w:style>
  <w:style w:type="character" w:customStyle="1" w:styleId="23">
    <w:name w:val="批注框文本 字符"/>
    <w:basedOn w:val="15"/>
    <w:link w:val="9"/>
    <w:semiHidden/>
    <w:qFormat/>
    <w:uiPriority w:val="99"/>
    <w:rPr>
      <w:sz w:val="18"/>
      <w:szCs w:val="18"/>
    </w:rPr>
  </w:style>
  <w:style w:type="character" w:customStyle="1" w:styleId="24">
    <w:name w:val="页眉 字符"/>
    <w:basedOn w:val="15"/>
    <w:link w:val="11"/>
    <w:qFormat/>
    <w:uiPriority w:val="99"/>
    <w:rPr>
      <w:sz w:val="18"/>
      <w:szCs w:val="18"/>
    </w:rPr>
  </w:style>
  <w:style w:type="character" w:customStyle="1" w:styleId="25">
    <w:name w:val="页脚 字符"/>
    <w:basedOn w:val="15"/>
    <w:link w:val="10"/>
    <w:qFormat/>
    <w:uiPriority w:val="99"/>
    <w:rPr>
      <w:sz w:val="18"/>
      <w:szCs w:val="18"/>
    </w:rPr>
  </w:style>
  <w:style w:type="character" w:customStyle="1" w:styleId="26">
    <w:name w:val="标题 字符"/>
    <w:basedOn w:val="15"/>
    <w:link w:val="12"/>
    <w:qFormat/>
    <w:uiPriority w:val="10"/>
    <w:rPr>
      <w:rFonts w:ascii="方正小标宋简体" w:eastAsia="方正小标宋简体"/>
      <w:color w:val="000000"/>
      <w:kern w:val="2"/>
      <w:sz w:val="40"/>
      <w:szCs w:val="40"/>
    </w:rPr>
  </w:style>
  <w:style w:type="character" w:customStyle="1" w:styleId="27">
    <w:name w:val="标题 1 字符"/>
    <w:basedOn w:val="15"/>
    <w:link w:val="5"/>
    <w:qFormat/>
    <w:uiPriority w:val="9"/>
    <w:rPr>
      <w:rFonts w:ascii="黑体" w:hAnsi="仿宋" w:eastAsia="黑体"/>
      <w:color w:val="000000"/>
      <w:kern w:val="2"/>
      <w:sz w:val="32"/>
      <w:szCs w:val="24"/>
    </w:rPr>
  </w:style>
  <w:style w:type="character" w:customStyle="1" w:styleId="28">
    <w:name w:val="标题 2 字符"/>
    <w:basedOn w:val="15"/>
    <w:link w:val="6"/>
    <w:qFormat/>
    <w:uiPriority w:val="9"/>
    <w:rPr>
      <w:rFonts w:ascii="楷体_GB2312" w:hAnsi="仿宋" w:eastAsia="楷体"/>
      <w:b/>
      <w:color w:val="000000"/>
      <w:kern w:val="2"/>
      <w:sz w:val="32"/>
      <w:szCs w:val="24"/>
    </w:rPr>
  </w:style>
  <w:style w:type="character" w:customStyle="1" w:styleId="29">
    <w:name w:val="标题 3 字符"/>
    <w:basedOn w:val="15"/>
    <w:link w:val="7"/>
    <w:qFormat/>
    <w:uiPriority w:val="9"/>
    <w:rPr>
      <w:rFonts w:ascii="仿宋" w:hAnsi="仿宋" w:eastAsia="仿宋"/>
      <w:b/>
      <w:color w:val="000000"/>
      <w:kern w:val="2"/>
      <w:sz w:val="32"/>
      <w:szCs w:val="24"/>
    </w:rPr>
  </w:style>
  <w:style w:type="paragraph" w:customStyle="1" w:styleId="30">
    <w:name w:val="表格标题"/>
    <w:basedOn w:val="1"/>
    <w:link w:val="32"/>
    <w:qFormat/>
    <w:uiPriority w:val="0"/>
    <w:pPr>
      <w:ind w:firstLine="0" w:firstLineChars="0"/>
      <w:jc w:val="center"/>
    </w:pPr>
    <w:rPr>
      <w:b/>
      <w:sz w:val="21"/>
    </w:rPr>
  </w:style>
  <w:style w:type="paragraph" w:customStyle="1" w:styleId="31">
    <w:name w:val="表格内容"/>
    <w:basedOn w:val="1"/>
    <w:link w:val="34"/>
    <w:qFormat/>
    <w:uiPriority w:val="0"/>
    <w:pPr>
      <w:spacing w:line="240" w:lineRule="auto"/>
      <w:ind w:firstLine="0" w:firstLineChars="0"/>
      <w:jc w:val="center"/>
    </w:pPr>
    <w:rPr>
      <w:sz w:val="21"/>
      <w:szCs w:val="21"/>
    </w:rPr>
  </w:style>
  <w:style w:type="character" w:customStyle="1" w:styleId="32">
    <w:name w:val="表格标题 字符"/>
    <w:basedOn w:val="15"/>
    <w:link w:val="30"/>
    <w:qFormat/>
    <w:uiPriority w:val="0"/>
    <w:rPr>
      <w:rFonts w:ascii="仿宋" w:hAnsi="仿宋" w:eastAsia="仿宋"/>
      <w:b/>
      <w:color w:val="000000"/>
      <w:kern w:val="2"/>
      <w:sz w:val="21"/>
      <w:szCs w:val="24"/>
    </w:rPr>
  </w:style>
  <w:style w:type="paragraph" w:customStyle="1" w:styleId="33">
    <w:name w:val="表格内容2"/>
    <w:basedOn w:val="31"/>
    <w:link w:val="35"/>
    <w:qFormat/>
    <w:uiPriority w:val="0"/>
    <w:rPr>
      <w:sz w:val="16"/>
      <w:szCs w:val="16"/>
    </w:rPr>
  </w:style>
  <w:style w:type="character" w:customStyle="1" w:styleId="34">
    <w:name w:val="表格内容 字符"/>
    <w:basedOn w:val="15"/>
    <w:link w:val="31"/>
    <w:qFormat/>
    <w:uiPriority w:val="0"/>
    <w:rPr>
      <w:rFonts w:ascii="仿宋" w:hAnsi="仿宋" w:eastAsia="仿宋"/>
      <w:color w:val="000000"/>
      <w:kern w:val="2"/>
      <w:sz w:val="21"/>
      <w:szCs w:val="21"/>
    </w:rPr>
  </w:style>
  <w:style w:type="character" w:customStyle="1" w:styleId="35">
    <w:name w:val="表格内容2 字符"/>
    <w:basedOn w:val="34"/>
    <w:link w:val="33"/>
    <w:qFormat/>
    <w:uiPriority w:val="0"/>
    <w:rPr>
      <w:rFonts w:ascii="仿宋" w:hAnsi="仿宋" w:eastAsia="仿宋"/>
      <w:color w:val="000000"/>
      <w:kern w:val="2"/>
      <w:sz w:val="16"/>
      <w:szCs w:val="16"/>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2715</Words>
  <Characters>3113</Characters>
  <Lines>104</Lines>
  <Paragraphs>29</Paragraphs>
  <TotalTime>28</TotalTime>
  <ScaleCrop>false</ScaleCrop>
  <LinksUpToDate>false</LinksUpToDate>
  <CharactersWithSpaces>3171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2021-05-25T18:34:00Z</dcterms:created>
  <dc:creator>1124053244@qq.com</dc:creator>
  <cp:lastModifiedBy>Z</cp:lastModifiedBy>
  <dcterms:modified xsi:type="dcterms:W3CDTF">2025-07-10T03:04:55Z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176CACCC46E2473E91B5A9830F46CB73</vt:lpwstr>
  </property>
  <property fmtid="{D5CDD505-2E9C-101B-9397-08002B2CF9AE}" pid="4" name="KSOTemplateDocerSaveRecord">
    <vt:lpwstr>eyJoZGlkIjoiY2JlMTRkNWQwMWQ5ZWQ0ZmVkY2IxZGUyZThhMjZlYzAiLCJ1c2VySWQiOiIyMzE3NjQzNDIifQ==</vt:lpwstr>
  </property>
</Properties>
</file>